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156D2">
      <w:pPr>
        <w:spacing w:line="560" w:lineRule="exact"/>
        <w:ind w:firstLine="640"/>
        <w:jc w:val="center"/>
        <w:rPr>
          <w:rFonts w:hint="eastAsia" w:ascii="方正小标宋简体" w:hAnsi="方正小标宋简体" w:eastAsia="方正小标宋简体" w:cs="方正小标宋简体"/>
          <w:sz w:val="48"/>
          <w:szCs w:val="48"/>
          <w:lang w:val="en-US" w:eastAsia="zh-CN"/>
        </w:rPr>
      </w:pPr>
      <w:r>
        <w:rPr>
          <w:rFonts w:hint="eastAsia" w:ascii="方正小标宋简体" w:hAnsi="方正小标宋简体" w:eastAsia="方正小标宋简体" w:cs="方正小标宋简体"/>
          <w:sz w:val="48"/>
          <w:szCs w:val="48"/>
          <w:lang w:val="en-US" w:eastAsia="zh-CN"/>
        </w:rPr>
        <w:t>来宾市人民医院简介</w:t>
      </w:r>
    </w:p>
    <w:p w14:paraId="4322D099">
      <w:pPr>
        <w:spacing w:line="560" w:lineRule="exact"/>
        <w:ind w:firstLine="640"/>
        <w:rPr>
          <w:rFonts w:hint="eastAsia" w:ascii="楷体" w:hAnsi="楷体" w:eastAsia="楷体" w:cs="楷体"/>
          <w:szCs w:val="32"/>
        </w:rPr>
      </w:pPr>
    </w:p>
    <w:p w14:paraId="3B10F734">
      <w:pPr>
        <w:spacing w:line="560" w:lineRule="exact"/>
        <w:ind w:firstLine="640"/>
        <w:rPr>
          <w:rFonts w:hint="eastAsia" w:ascii="黑体" w:hAnsi="黑体" w:eastAsia="黑体" w:cs="黑体"/>
          <w:szCs w:val="32"/>
        </w:rPr>
      </w:pPr>
      <w:r>
        <w:rPr>
          <w:rFonts w:hint="eastAsia" w:ascii="黑体" w:hAnsi="黑体" w:eastAsia="黑体" w:cs="黑体"/>
          <w:szCs w:val="32"/>
          <w:lang w:val="en-US" w:eastAsia="zh-CN"/>
        </w:rPr>
        <w:t>一、</w:t>
      </w:r>
      <w:r>
        <w:rPr>
          <w:rFonts w:hint="eastAsia" w:ascii="黑体" w:hAnsi="黑体" w:eastAsia="黑体" w:cs="黑体"/>
          <w:szCs w:val="32"/>
        </w:rPr>
        <w:t>医院概况</w:t>
      </w:r>
    </w:p>
    <w:p w14:paraId="22309104">
      <w:pPr>
        <w:spacing w:line="560" w:lineRule="exact"/>
        <w:ind w:firstLine="640"/>
        <w:rPr>
          <w:rFonts w:hint="eastAsia" w:eastAsia="仿宋_GB2312"/>
          <w:color w:val="000000"/>
          <w:szCs w:val="32"/>
          <w:lang w:val="en-US" w:eastAsia="zh-CN"/>
        </w:rPr>
      </w:pPr>
      <w:r>
        <w:rPr>
          <w:rFonts w:hint="eastAsia" w:eastAsia="仿宋_GB2312"/>
          <w:color w:val="000000"/>
          <w:szCs w:val="32"/>
        </w:rPr>
        <w:t>来宾市人民医院始建于1951年4月，是一家集医疗、教学、科研、预防、保健为一体的国家三级甲等综合医院。医院位于来宾市盘古大道东159号，与广西首府南宁以及山水甲天下闻名于世的桂林相毗邻，占地面积近200亩，建筑面积16.18万</w:t>
      </w:r>
      <w:r>
        <w:rPr>
          <w:rFonts w:hint="eastAsia" w:eastAsia="仿宋_GB2312"/>
          <w:color w:val="000000"/>
          <w:szCs w:val="32"/>
          <w:lang w:val="en-US" w:eastAsia="zh-CN"/>
        </w:rPr>
        <w:t>㎡</w:t>
      </w:r>
      <w:r>
        <w:rPr>
          <w:rFonts w:hint="eastAsia" w:eastAsia="仿宋_GB2312"/>
          <w:color w:val="000000"/>
          <w:szCs w:val="32"/>
        </w:rPr>
        <w:t>，开放床位数近1500张。目前是桂林医学院来宾临床医学院、广西医科大学教学医院、广西医科大学第一附属医院技术协作医院。</w:t>
      </w:r>
      <w:r>
        <w:rPr>
          <w:rFonts w:hint="eastAsia" w:eastAsia="仿宋_GB2312"/>
          <w:color w:val="000000"/>
          <w:szCs w:val="32"/>
          <w:lang w:val="en-US" w:eastAsia="zh-CN"/>
        </w:rPr>
        <w:t xml:space="preserve">    </w:t>
      </w:r>
    </w:p>
    <w:p w14:paraId="7529CBA5">
      <w:pPr>
        <w:spacing w:line="560" w:lineRule="exact"/>
        <w:ind w:firstLine="640"/>
        <w:rPr>
          <w:rFonts w:hint="eastAsia" w:ascii="黑体" w:hAnsi="黑体" w:eastAsia="黑体" w:cs="黑体"/>
          <w:szCs w:val="32"/>
          <w:lang w:val="en-US" w:eastAsia="zh-CN"/>
        </w:rPr>
      </w:pPr>
      <w:r>
        <w:rPr>
          <w:rFonts w:hint="eastAsia" w:ascii="黑体" w:hAnsi="黑体" w:eastAsia="黑体" w:cs="黑体"/>
          <w:szCs w:val="32"/>
          <w:lang w:val="en-US" w:eastAsia="zh-CN"/>
        </w:rPr>
        <w:t>二、医院组织、人员结构</w:t>
      </w:r>
    </w:p>
    <w:p w14:paraId="65023E61">
      <w:pPr>
        <w:spacing w:line="560" w:lineRule="exact"/>
        <w:ind w:firstLine="640"/>
        <w:rPr>
          <w:rFonts w:eastAsia="仿宋_GB2312"/>
          <w:szCs w:val="32"/>
        </w:rPr>
      </w:pPr>
      <w:r>
        <w:rPr>
          <w:rFonts w:eastAsia="仿宋_GB2312"/>
          <w:szCs w:val="32"/>
        </w:rPr>
        <w:t>医院</w:t>
      </w:r>
      <w:r>
        <w:rPr>
          <w:rFonts w:hint="eastAsia" w:eastAsia="仿宋_GB2312"/>
          <w:szCs w:val="32"/>
        </w:rPr>
        <w:t>设有3</w:t>
      </w:r>
      <w:r>
        <w:rPr>
          <w:rFonts w:hint="eastAsia" w:eastAsia="仿宋_GB2312"/>
          <w:szCs w:val="32"/>
          <w:lang w:val="en-US" w:eastAsia="zh-CN"/>
        </w:rPr>
        <w:t>2</w:t>
      </w:r>
      <w:r>
        <w:rPr>
          <w:rFonts w:hint="eastAsia" w:eastAsia="仿宋_GB2312"/>
          <w:szCs w:val="32"/>
        </w:rPr>
        <w:t>个行政职能科室、3</w:t>
      </w:r>
      <w:r>
        <w:rPr>
          <w:rFonts w:hint="eastAsia" w:eastAsia="仿宋_GB2312"/>
          <w:szCs w:val="32"/>
          <w:lang w:val="en-US" w:eastAsia="zh-CN"/>
        </w:rPr>
        <w:t>8</w:t>
      </w:r>
      <w:r>
        <w:rPr>
          <w:rFonts w:hint="eastAsia" w:eastAsia="仿宋_GB2312"/>
          <w:szCs w:val="32"/>
        </w:rPr>
        <w:t>个临床科室和8个医技科室。全院职工2200余人，其中具有高级职称专家近400人，硕士、博士研究生学历人才近200人。</w:t>
      </w:r>
    </w:p>
    <w:p w14:paraId="5537596B">
      <w:pPr>
        <w:spacing w:line="560" w:lineRule="exact"/>
        <w:ind w:firstLine="640"/>
        <w:rPr>
          <w:rFonts w:hint="eastAsia" w:ascii="黑体" w:hAnsi="黑体" w:eastAsia="黑体" w:cs="黑体"/>
          <w:szCs w:val="32"/>
          <w:lang w:val="en-US" w:eastAsia="zh-CN"/>
        </w:rPr>
      </w:pPr>
      <w:r>
        <w:rPr>
          <w:rFonts w:hint="eastAsia" w:ascii="黑体" w:hAnsi="黑体" w:eastAsia="黑体" w:cs="黑体"/>
          <w:szCs w:val="32"/>
          <w:lang w:val="en-US" w:eastAsia="zh-CN"/>
        </w:rPr>
        <w:t>三、设备配置</w:t>
      </w:r>
    </w:p>
    <w:p w14:paraId="2D4D2ED5">
      <w:pPr>
        <w:spacing w:line="560" w:lineRule="exact"/>
        <w:ind w:firstLine="640"/>
        <w:rPr>
          <w:rFonts w:eastAsia="仿宋_GB2312"/>
          <w:szCs w:val="32"/>
        </w:rPr>
      </w:pPr>
      <w:r>
        <w:rPr>
          <w:rFonts w:hint="eastAsia" w:eastAsia="仿宋_GB2312"/>
          <w:szCs w:val="32"/>
        </w:rPr>
        <w:t>医院拥有50万元以上设备165台（件），包括1.5T和3.0T核磁共振系统、直线加速器、64排128层高端螺旋CT 、数字减影血管造影、动态平板DR胃肠机、数字化DR 、4K超高清腹腔镜、体外膜肺氧合（ECMO）、高级荧光手术显微镜等一大批先进医疗设备，同时拥有桂中地区最大的高压氧舱，也是全区首个在智能化轨道物流系统全覆盖的医院。医院建成全区先进的临床能力模拟培训中心、会议中心、健康管理中心、电生理中心、内镜中心等中心，成功启用近200间智慧病房，整体硬件设施及环境达全区一流水平。</w:t>
      </w:r>
    </w:p>
    <w:p w14:paraId="59F8A98D">
      <w:pPr>
        <w:spacing w:line="560" w:lineRule="exact"/>
        <w:ind w:firstLine="640"/>
        <w:rPr>
          <w:rFonts w:hint="eastAsia" w:ascii="黑体" w:hAnsi="黑体" w:eastAsia="黑体" w:cs="黑体"/>
          <w:szCs w:val="32"/>
          <w:lang w:val="en-US" w:eastAsia="zh-CN"/>
        </w:rPr>
      </w:pPr>
      <w:r>
        <w:rPr>
          <w:rFonts w:hint="eastAsia" w:ascii="黑体" w:hAnsi="黑体" w:eastAsia="黑体" w:cs="黑体"/>
          <w:szCs w:val="32"/>
          <w:lang w:val="en-US" w:eastAsia="zh-CN"/>
        </w:rPr>
        <w:t>四、创新成就</w:t>
      </w:r>
    </w:p>
    <w:p w14:paraId="25F23A22">
      <w:pPr>
        <w:spacing w:line="560" w:lineRule="exact"/>
        <w:ind w:firstLine="640"/>
        <w:rPr>
          <w:rFonts w:hint="eastAsia" w:eastAsia="仿宋_GB2312"/>
          <w:szCs w:val="32"/>
        </w:rPr>
      </w:pPr>
      <w:r>
        <w:rPr>
          <w:rFonts w:hint="eastAsia" w:eastAsia="仿宋_GB2312"/>
          <w:szCs w:val="32"/>
        </w:rPr>
        <w:t>我院为国家爱婴医院、国家级胸痛中心、国家级脑出血外科诊疗基地以及广西优生优育协会专家基层技术培训基地，是重症医学、医院感染管理、护理管理、放射诊断、病案管理等</w:t>
      </w:r>
      <w:r>
        <w:rPr>
          <w:rFonts w:hint="eastAsia" w:eastAsia="仿宋_GB2312"/>
          <w:szCs w:val="32"/>
          <w:lang w:val="en-US" w:eastAsia="zh-CN"/>
        </w:rPr>
        <w:t>20</w:t>
      </w:r>
      <w:bookmarkStart w:id="0" w:name="_GoBack"/>
      <w:bookmarkEnd w:id="0"/>
      <w:r>
        <w:rPr>
          <w:rFonts w:hint="eastAsia" w:eastAsia="仿宋_GB2312"/>
          <w:szCs w:val="32"/>
        </w:rPr>
        <w:t>个市级质控制中心挂靠单位，是来宾市医学会骨科学分会、来宾市医学会儿科学分会</w:t>
      </w:r>
      <w:r>
        <w:rPr>
          <w:rFonts w:hint="eastAsia" w:eastAsia="仿宋_GB2312"/>
          <w:color w:val="auto"/>
          <w:szCs w:val="32"/>
        </w:rPr>
        <w:t>等17个来宾市医学会挂靠单位，年内将新增消化、麻醉等分会。拥有自治区级临床重点专科</w:t>
      </w:r>
      <w:r>
        <w:rPr>
          <w:rFonts w:hint="eastAsia" w:eastAsia="仿宋_GB2312"/>
          <w:color w:val="auto"/>
          <w:szCs w:val="32"/>
          <w:lang w:val="en-US" w:eastAsia="zh-CN"/>
        </w:rPr>
        <w:t>2</w:t>
      </w:r>
      <w:r>
        <w:rPr>
          <w:rFonts w:hint="eastAsia" w:eastAsia="仿宋_GB2312"/>
          <w:color w:val="auto"/>
          <w:szCs w:val="32"/>
        </w:rPr>
        <w:t>个，</w:t>
      </w:r>
      <w:r>
        <w:rPr>
          <w:rFonts w:hint="eastAsia" w:eastAsia="仿宋_GB2312"/>
          <w:szCs w:val="32"/>
        </w:rPr>
        <w:t>市级重点专科8个，国家级限制类技术</w:t>
      </w:r>
      <w:r>
        <w:rPr>
          <w:rFonts w:hint="eastAsia" w:eastAsia="仿宋_GB2312"/>
          <w:szCs w:val="32"/>
          <w:lang w:val="en-US" w:eastAsia="zh-CN"/>
        </w:rPr>
        <w:t>3</w:t>
      </w:r>
      <w:r>
        <w:rPr>
          <w:rFonts w:hint="eastAsia" w:eastAsia="仿宋_GB2312"/>
          <w:szCs w:val="32"/>
        </w:rPr>
        <w:t>个，自治区级限制类技术13个。胸心血管外科、心内科、骨科等领军学科比肩区内先进行列。依据学科发展以及医院定位，目前建成“五大救治中心”“四大诊断中心”，辐射金秀分院及兴宾区等相关医院，让辖区老百姓足不出户，在当地医院即可享受三甲医院优质医疗资源。</w:t>
      </w:r>
    </w:p>
    <w:p w14:paraId="0E221F9C">
      <w:pPr>
        <w:spacing w:line="560" w:lineRule="exact"/>
        <w:ind w:firstLine="640"/>
        <w:rPr>
          <w:rFonts w:hint="eastAsia" w:ascii="黑体" w:hAnsi="黑体" w:eastAsia="黑体" w:cs="黑体"/>
          <w:szCs w:val="32"/>
          <w:lang w:val="en-US" w:eastAsia="zh-CN"/>
        </w:rPr>
      </w:pPr>
      <w:r>
        <w:rPr>
          <w:rFonts w:hint="eastAsia" w:ascii="黑体" w:hAnsi="黑体" w:eastAsia="黑体" w:cs="黑体"/>
          <w:szCs w:val="32"/>
          <w:lang w:val="en-US" w:eastAsia="zh-CN"/>
        </w:rPr>
        <w:t>五、对外合作</w:t>
      </w:r>
    </w:p>
    <w:p w14:paraId="7C0E2BA9">
      <w:pPr>
        <w:spacing w:line="560" w:lineRule="exact"/>
        <w:ind w:firstLine="640"/>
        <w:rPr>
          <w:rFonts w:hint="eastAsia" w:eastAsia="仿宋_GB2312"/>
          <w:szCs w:val="32"/>
        </w:rPr>
      </w:pPr>
      <w:r>
        <w:rPr>
          <w:rFonts w:hint="eastAsia" w:eastAsia="仿宋_GB2312"/>
          <w:szCs w:val="32"/>
        </w:rPr>
        <w:t>医院先后与中国医学科学院阜外医院及清华大学附属北京清华长庚医院、北京积水潭医院知名专家合作，成立了“来宾市人民医院心血管病技术培训中心”和“北京骨科专家博士工作室”，与广西医科大学成立“儿科专家博士工作室”，通过“借势、借力、借智”助推心血管病、骨科、儿科等疾病技术能力实现新突破。</w:t>
      </w:r>
    </w:p>
    <w:p w14:paraId="2C7BB168">
      <w:pPr>
        <w:spacing w:line="560" w:lineRule="exact"/>
        <w:ind w:firstLine="640"/>
        <w:rPr>
          <w:rFonts w:hint="eastAsia" w:ascii="黑体" w:hAnsi="黑体" w:eastAsia="黑体" w:cs="黑体"/>
          <w:szCs w:val="32"/>
          <w:lang w:val="en-US" w:eastAsia="zh-CN"/>
        </w:rPr>
      </w:pPr>
      <w:r>
        <w:rPr>
          <w:rFonts w:hint="eastAsia" w:ascii="黑体" w:hAnsi="黑体" w:eastAsia="黑体" w:cs="黑体"/>
          <w:szCs w:val="32"/>
          <w:lang w:val="en-US" w:eastAsia="zh-CN"/>
        </w:rPr>
        <w:t>六、文化荣誉</w:t>
      </w:r>
    </w:p>
    <w:p w14:paraId="0030ED08">
      <w:pPr>
        <w:spacing w:line="560" w:lineRule="exact"/>
        <w:ind w:firstLine="640"/>
        <w:rPr>
          <w:rFonts w:eastAsia="仿宋_GB2312"/>
          <w:szCs w:val="32"/>
        </w:rPr>
      </w:pPr>
      <w:r>
        <w:rPr>
          <w:rFonts w:hint="eastAsia" w:eastAsia="仿宋_GB2312"/>
          <w:szCs w:val="32"/>
        </w:rPr>
        <w:t>医院秉持“尊重生命 促进健康 立院为民 大爱无疆”的宗旨，着力打造技术精湛、群众满意、区域一流的现代化综合医院，先后荣获国家“节约型公共机构示范单位”“全国医疗服务价格和成本监测与研究网络先进机构”“全区先进基层党组织”“自治区健康促进医院示范单位”“全区应急管理工作集体二等功”“来宾市新冠肺炎疫情防控一线先进集体”等国家级、自治区级和市级荣誉110多个。</w:t>
      </w:r>
    </w:p>
    <w:p w14:paraId="570DE053">
      <w:pPr>
        <w:spacing w:line="560" w:lineRule="exact"/>
        <w:ind w:firstLine="640"/>
        <w:rPr>
          <w:rFonts w:hint="eastAsia" w:eastAsia="仿宋_GB2312"/>
          <w:szCs w:val="32"/>
        </w:rPr>
      </w:pPr>
      <w:r>
        <w:rPr>
          <w:rFonts w:hint="eastAsia" w:eastAsia="仿宋_GB2312"/>
          <w:szCs w:val="32"/>
        </w:rPr>
        <w:t>一分耕耘一分收获，当前我院集聚培养了一大批医疗卫生领域骨干人才，实现人才聚集和医院发展“齐头并进”。2021年，医院门诊量首次突破100万人次大关，入院人次、出院人次、手术室手术服务人次等数据同比上升均超过15%，医院整体实力和竞争力、医疗技术水平和服务水平再上新台阶。下一步，我院将围绕发展战略规划、学科重点发展方向、高端人才实际需求，深入推进高层次人才引进计划，有步骤的培育卫生专业技术人才梯队，全力打造技术精湛、群众满意、区域一流的现代化综合医院。</w:t>
      </w:r>
    </w:p>
    <w:p w14:paraId="148A2379">
      <w:pPr>
        <w:spacing w:line="560" w:lineRule="exact"/>
        <w:ind w:firstLine="640"/>
        <w:rPr>
          <w:rFonts w:hint="default" w:eastAsia="仿宋_GB2312"/>
          <w:b/>
          <w:bCs/>
          <w:szCs w:val="32"/>
          <w:u w:val="single"/>
          <w:lang w:val="en-US" w:eastAsia="zh-CN"/>
        </w:rPr>
      </w:pPr>
      <w:r>
        <w:rPr>
          <w:rFonts w:hint="eastAsia" w:eastAsia="仿宋_GB2312"/>
          <w:b/>
          <w:bCs/>
          <w:szCs w:val="32"/>
          <w:u w:val="single"/>
          <w:lang w:val="en-US" w:eastAsia="zh-CN"/>
        </w:rPr>
        <w:t>来宾市人民医院期待您的加入！</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2041" w:left="1588" w:header="851" w:footer="1531"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06AC6">
    <w:pPr>
      <w:pStyle w:val="6"/>
      <w:wordWrap w:val="0"/>
      <w:ind w:firstLine="560"/>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5 -</w:t>
    </w:r>
    <w:r>
      <w:rPr>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EF475">
    <w:pPr>
      <w:pStyle w:val="6"/>
      <w:ind w:firstLine="280" w:firstLineChars="100"/>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4 -</w:t>
    </w:r>
    <w:r>
      <w:rPr>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4EA0B">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09BAC">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E44C2">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D236">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attachedTemplate r:id="rId1"/>
  <w:documentProtection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mMjZjZjFlYmY2NWUwYjA2M2FlOGJjZmY3NjFkNGYifQ=="/>
  </w:docVars>
  <w:rsids>
    <w:rsidRoot w:val="16A12E73"/>
    <w:rsid w:val="0001451A"/>
    <w:rsid w:val="00015068"/>
    <w:rsid w:val="0003218D"/>
    <w:rsid w:val="0006716F"/>
    <w:rsid w:val="000C206A"/>
    <w:rsid w:val="000E0FE0"/>
    <w:rsid w:val="00100FEB"/>
    <w:rsid w:val="00104BE6"/>
    <w:rsid w:val="00123C4F"/>
    <w:rsid w:val="00124F73"/>
    <w:rsid w:val="00143E2B"/>
    <w:rsid w:val="00144680"/>
    <w:rsid w:val="00165D06"/>
    <w:rsid w:val="00166E34"/>
    <w:rsid w:val="001D5AEC"/>
    <w:rsid w:val="001E35D4"/>
    <w:rsid w:val="00247FCD"/>
    <w:rsid w:val="002660A0"/>
    <w:rsid w:val="00282A4E"/>
    <w:rsid w:val="002935D8"/>
    <w:rsid w:val="00297272"/>
    <w:rsid w:val="002C1DA2"/>
    <w:rsid w:val="002D56E3"/>
    <w:rsid w:val="0035330B"/>
    <w:rsid w:val="003647B9"/>
    <w:rsid w:val="003A3F1C"/>
    <w:rsid w:val="003B6E07"/>
    <w:rsid w:val="003F63DF"/>
    <w:rsid w:val="004001AA"/>
    <w:rsid w:val="00403DB6"/>
    <w:rsid w:val="00427110"/>
    <w:rsid w:val="00427F1A"/>
    <w:rsid w:val="004318EE"/>
    <w:rsid w:val="00431C67"/>
    <w:rsid w:val="00441866"/>
    <w:rsid w:val="004457A3"/>
    <w:rsid w:val="004672A6"/>
    <w:rsid w:val="004C4674"/>
    <w:rsid w:val="004C64DA"/>
    <w:rsid w:val="004F4678"/>
    <w:rsid w:val="004F7C17"/>
    <w:rsid w:val="005366CB"/>
    <w:rsid w:val="00543A81"/>
    <w:rsid w:val="00567DA8"/>
    <w:rsid w:val="00596E89"/>
    <w:rsid w:val="005A1909"/>
    <w:rsid w:val="005B3831"/>
    <w:rsid w:val="005E4E40"/>
    <w:rsid w:val="005F4FE3"/>
    <w:rsid w:val="005F6BBF"/>
    <w:rsid w:val="00603BF8"/>
    <w:rsid w:val="006057CD"/>
    <w:rsid w:val="00607D46"/>
    <w:rsid w:val="00620EDB"/>
    <w:rsid w:val="00636BB1"/>
    <w:rsid w:val="00656DAF"/>
    <w:rsid w:val="00696F42"/>
    <w:rsid w:val="006A71C0"/>
    <w:rsid w:val="006E2B61"/>
    <w:rsid w:val="00721758"/>
    <w:rsid w:val="00723A4A"/>
    <w:rsid w:val="00731719"/>
    <w:rsid w:val="0074416A"/>
    <w:rsid w:val="007545CF"/>
    <w:rsid w:val="007705BA"/>
    <w:rsid w:val="007D3C92"/>
    <w:rsid w:val="0081100C"/>
    <w:rsid w:val="0082183C"/>
    <w:rsid w:val="008257E7"/>
    <w:rsid w:val="0083514A"/>
    <w:rsid w:val="00840147"/>
    <w:rsid w:val="008826D2"/>
    <w:rsid w:val="00897773"/>
    <w:rsid w:val="008B7073"/>
    <w:rsid w:val="008C2CF1"/>
    <w:rsid w:val="008E17F7"/>
    <w:rsid w:val="008E3C82"/>
    <w:rsid w:val="00935233"/>
    <w:rsid w:val="009402F4"/>
    <w:rsid w:val="0097511D"/>
    <w:rsid w:val="009863F9"/>
    <w:rsid w:val="00994401"/>
    <w:rsid w:val="009A6A51"/>
    <w:rsid w:val="009F18B1"/>
    <w:rsid w:val="00A0088C"/>
    <w:rsid w:val="00A04812"/>
    <w:rsid w:val="00A12F48"/>
    <w:rsid w:val="00A22AB7"/>
    <w:rsid w:val="00A24B3A"/>
    <w:rsid w:val="00A367DB"/>
    <w:rsid w:val="00A36B0B"/>
    <w:rsid w:val="00A41B89"/>
    <w:rsid w:val="00A544D7"/>
    <w:rsid w:val="00A71592"/>
    <w:rsid w:val="00A7172B"/>
    <w:rsid w:val="00A80935"/>
    <w:rsid w:val="00A90FD1"/>
    <w:rsid w:val="00AA2EDD"/>
    <w:rsid w:val="00AB3986"/>
    <w:rsid w:val="00AE6D45"/>
    <w:rsid w:val="00B1391E"/>
    <w:rsid w:val="00B2375E"/>
    <w:rsid w:val="00B27978"/>
    <w:rsid w:val="00B45D23"/>
    <w:rsid w:val="00B678E2"/>
    <w:rsid w:val="00BB2119"/>
    <w:rsid w:val="00BB2320"/>
    <w:rsid w:val="00BC0CC2"/>
    <w:rsid w:val="00BF58D4"/>
    <w:rsid w:val="00C10045"/>
    <w:rsid w:val="00C15242"/>
    <w:rsid w:val="00C6478F"/>
    <w:rsid w:val="00C75EBE"/>
    <w:rsid w:val="00CD7E84"/>
    <w:rsid w:val="00CF387F"/>
    <w:rsid w:val="00CF49EC"/>
    <w:rsid w:val="00D1230D"/>
    <w:rsid w:val="00D13223"/>
    <w:rsid w:val="00D13BCF"/>
    <w:rsid w:val="00D334C7"/>
    <w:rsid w:val="00DD0AD8"/>
    <w:rsid w:val="00DF3B23"/>
    <w:rsid w:val="00DF7CB0"/>
    <w:rsid w:val="00E0441F"/>
    <w:rsid w:val="00E11E72"/>
    <w:rsid w:val="00E30086"/>
    <w:rsid w:val="00E51391"/>
    <w:rsid w:val="00E646E9"/>
    <w:rsid w:val="00E91EEB"/>
    <w:rsid w:val="00F032E7"/>
    <w:rsid w:val="00F053CA"/>
    <w:rsid w:val="00F52703"/>
    <w:rsid w:val="00F92D36"/>
    <w:rsid w:val="00FB0899"/>
    <w:rsid w:val="00FD27A1"/>
    <w:rsid w:val="00FE47C8"/>
    <w:rsid w:val="06B31420"/>
    <w:rsid w:val="087561C2"/>
    <w:rsid w:val="09353D5E"/>
    <w:rsid w:val="0E3560D8"/>
    <w:rsid w:val="0F2412A4"/>
    <w:rsid w:val="0F6056E6"/>
    <w:rsid w:val="0FA9354D"/>
    <w:rsid w:val="10BD0B6A"/>
    <w:rsid w:val="11CE35B2"/>
    <w:rsid w:val="136D16FB"/>
    <w:rsid w:val="13936861"/>
    <w:rsid w:val="14ED00CC"/>
    <w:rsid w:val="155A23F7"/>
    <w:rsid w:val="15665BE5"/>
    <w:rsid w:val="16A12E73"/>
    <w:rsid w:val="16DD7794"/>
    <w:rsid w:val="176B041B"/>
    <w:rsid w:val="18C9019E"/>
    <w:rsid w:val="1A35028C"/>
    <w:rsid w:val="1C9504F5"/>
    <w:rsid w:val="1D6E6F76"/>
    <w:rsid w:val="1EA910E6"/>
    <w:rsid w:val="1F4629DA"/>
    <w:rsid w:val="228F28EA"/>
    <w:rsid w:val="237D0175"/>
    <w:rsid w:val="25494795"/>
    <w:rsid w:val="26D65F40"/>
    <w:rsid w:val="2D637F86"/>
    <w:rsid w:val="30817D5E"/>
    <w:rsid w:val="33BB0983"/>
    <w:rsid w:val="35114348"/>
    <w:rsid w:val="354B42C6"/>
    <w:rsid w:val="37F23448"/>
    <w:rsid w:val="3A871854"/>
    <w:rsid w:val="3C0F26B7"/>
    <w:rsid w:val="3C236125"/>
    <w:rsid w:val="3C5C7E16"/>
    <w:rsid w:val="3E327910"/>
    <w:rsid w:val="401B00E9"/>
    <w:rsid w:val="43E202FE"/>
    <w:rsid w:val="458A7AA7"/>
    <w:rsid w:val="45E70751"/>
    <w:rsid w:val="45F823D0"/>
    <w:rsid w:val="48667975"/>
    <w:rsid w:val="4A942D48"/>
    <w:rsid w:val="4EB7764D"/>
    <w:rsid w:val="4F0236E2"/>
    <w:rsid w:val="4F9F4E06"/>
    <w:rsid w:val="501B374B"/>
    <w:rsid w:val="50B26176"/>
    <w:rsid w:val="510C31D4"/>
    <w:rsid w:val="51892398"/>
    <w:rsid w:val="51AB5B09"/>
    <w:rsid w:val="533267F6"/>
    <w:rsid w:val="581450C2"/>
    <w:rsid w:val="595930BA"/>
    <w:rsid w:val="5A3E6385"/>
    <w:rsid w:val="5B773B47"/>
    <w:rsid w:val="5C3D6937"/>
    <w:rsid w:val="5C841E70"/>
    <w:rsid w:val="5C930305"/>
    <w:rsid w:val="62243CA5"/>
    <w:rsid w:val="635C7E23"/>
    <w:rsid w:val="63AD7047"/>
    <w:rsid w:val="64A5151D"/>
    <w:rsid w:val="678418BE"/>
    <w:rsid w:val="69932F94"/>
    <w:rsid w:val="6AC5539F"/>
    <w:rsid w:val="6C2F7E97"/>
    <w:rsid w:val="6D8C11D0"/>
    <w:rsid w:val="6DCD5F98"/>
    <w:rsid w:val="6E002CA9"/>
    <w:rsid w:val="6F1C7DB6"/>
    <w:rsid w:val="705B2832"/>
    <w:rsid w:val="76385C45"/>
    <w:rsid w:val="77CD66D1"/>
    <w:rsid w:val="78E3480A"/>
    <w:rsid w:val="7BA3331B"/>
    <w:rsid w:val="7ED020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 w:semiHidden="0" w:name="heading 1"/>
    <w:lsdException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200" w:firstLineChars="200"/>
      <w:jc w:val="both"/>
    </w:pPr>
    <w:rPr>
      <w:rFonts w:ascii="Times New Roman" w:hAnsi="Times New Roman" w:eastAsia="宋体" w:cs="Times New Roman"/>
      <w:kern w:val="2"/>
      <w:sz w:val="32"/>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0"/>
    <w:pPr>
      <w:autoSpaceDE w:val="0"/>
      <w:autoSpaceDN w:val="0"/>
    </w:pPr>
    <w:rPr>
      <w:rFonts w:ascii="方正黑体_GBK" w:hAnsi="方正黑体_GBK" w:eastAsia="方正黑体_GBK"/>
      <w:color w:val="000000"/>
      <w:sz w:val="24"/>
    </w:rPr>
  </w:style>
  <w:style w:type="paragraph" w:customStyle="1" w:styleId="3">
    <w:name w:val="纯文本1"/>
    <w:basedOn w:val="1"/>
    <w:qFormat/>
    <w:uiPriority w:val="0"/>
    <w:pPr>
      <w:textAlignment w:val="baseline"/>
    </w:pPr>
    <w:rPr>
      <w:rFonts w:ascii="宋体" w:hAnsi="Courier New"/>
    </w:rPr>
  </w:style>
  <w:style w:type="paragraph" w:styleId="4">
    <w:name w:val="annotation text"/>
    <w:basedOn w:val="1"/>
    <w:semiHidden/>
    <w:unhideWhenUsed/>
    <w:qFormat/>
    <w:uiPriority w:val="99"/>
    <w:pPr>
      <w:jc w:val="left"/>
    </w:pPr>
  </w:style>
  <w:style w:type="paragraph" w:styleId="5">
    <w:name w:val="Balloon Text"/>
    <w:basedOn w:val="1"/>
    <w:link w:val="38"/>
    <w:semiHidden/>
    <w:unhideWhenUsed/>
    <w:qFormat/>
    <w:uiPriority w:val="99"/>
    <w:pPr>
      <w:spacing w:line="240" w:lineRule="auto"/>
    </w:pPr>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next w:val="8"/>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自定义正文"/>
    <w:basedOn w:val="1"/>
    <w:qFormat/>
    <w:uiPriority w:val="0"/>
    <w:pPr>
      <w:adjustRightInd w:val="0"/>
      <w:spacing w:line="360" w:lineRule="auto"/>
      <w:ind w:firstLine="560"/>
    </w:pPr>
    <w:rPr>
      <w:kern w:val="0"/>
      <w:sz w:val="28"/>
      <w:szCs w:val="28"/>
    </w:rPr>
  </w:style>
  <w:style w:type="paragraph" w:styleId="9">
    <w:name w:val="Normal (Web)"/>
    <w:basedOn w:val="1"/>
    <w:semiHidden/>
    <w:unhideWhenUsed/>
    <w:qFormat/>
    <w:uiPriority w:val="99"/>
    <w:pPr>
      <w:spacing w:beforeAutospacing="1" w:afterAutospacing="1"/>
      <w:jc w:val="left"/>
    </w:pPr>
    <w:rPr>
      <w:kern w:val="0"/>
      <w:sz w:val="24"/>
    </w:rPr>
  </w:style>
  <w:style w:type="paragraph" w:styleId="10">
    <w:name w:val="Title"/>
    <w:basedOn w:val="1"/>
    <w:next w:val="1"/>
    <w:link w:val="15"/>
    <w:qFormat/>
    <w:uiPriority w:val="0"/>
    <w:pPr>
      <w:ind w:firstLine="0" w:firstLineChars="0"/>
      <w:jc w:val="center"/>
      <w:outlineLvl w:val="0"/>
    </w:pPr>
    <w:rPr>
      <w:rFonts w:eastAsia="方正小标宋简体"/>
      <w:bCs/>
      <w:color w:val="000000"/>
      <w:sz w:val="44"/>
      <w:szCs w:val="44"/>
    </w:rPr>
  </w:style>
  <w:style w:type="character" w:styleId="13">
    <w:name w:val="Strong"/>
    <w:qFormat/>
    <w:uiPriority w:val="22"/>
    <w:rPr>
      <w:rFonts w:ascii="黑体" w:eastAsia="黑体"/>
      <w:szCs w:val="32"/>
    </w:rPr>
  </w:style>
  <w:style w:type="character" w:styleId="14">
    <w:name w:val="Hyperlink"/>
    <w:basedOn w:val="12"/>
    <w:semiHidden/>
    <w:unhideWhenUsed/>
    <w:qFormat/>
    <w:uiPriority w:val="99"/>
    <w:rPr>
      <w:color w:val="0000FF"/>
      <w:u w:val="single"/>
    </w:rPr>
  </w:style>
  <w:style w:type="character" w:customStyle="1" w:styleId="15">
    <w:name w:val="标题 Char"/>
    <w:link w:val="10"/>
    <w:qFormat/>
    <w:uiPriority w:val="0"/>
    <w:rPr>
      <w:rFonts w:ascii="Times New Roman" w:hAnsi="Times New Roman" w:eastAsia="方正小标宋简体"/>
      <w:bCs/>
      <w:color w:val="000000"/>
      <w:kern w:val="2"/>
      <w:sz w:val="44"/>
      <w:szCs w:val="44"/>
    </w:rPr>
  </w:style>
  <w:style w:type="character" w:customStyle="1" w:styleId="16">
    <w:name w:val="页眉 Char"/>
    <w:link w:val="7"/>
    <w:semiHidden/>
    <w:qFormat/>
    <w:uiPriority w:val="99"/>
    <w:rPr>
      <w:rFonts w:ascii="Times New Roman" w:hAnsi="Times New Roman" w:eastAsia="宋体"/>
      <w:kern w:val="2"/>
      <w:sz w:val="18"/>
      <w:szCs w:val="18"/>
    </w:rPr>
  </w:style>
  <w:style w:type="character" w:customStyle="1" w:styleId="17">
    <w:name w:val="页脚 Char"/>
    <w:link w:val="6"/>
    <w:qFormat/>
    <w:uiPriority w:val="99"/>
    <w:rPr>
      <w:rFonts w:ascii="Times New Roman" w:hAnsi="Times New Roman" w:eastAsia="宋体"/>
      <w:kern w:val="2"/>
      <w:sz w:val="18"/>
      <w:szCs w:val="18"/>
    </w:rPr>
  </w:style>
  <w:style w:type="paragraph" w:customStyle="1" w:styleId="18">
    <w:name w:val="文号"/>
    <w:basedOn w:val="10"/>
    <w:link w:val="20"/>
    <w:qFormat/>
    <w:uiPriority w:val="0"/>
    <w:pPr>
      <w:outlineLvl w:val="9"/>
    </w:pPr>
    <w:rPr>
      <w:rFonts w:eastAsia="仿宋_GB2312"/>
      <w:sz w:val="32"/>
    </w:rPr>
  </w:style>
  <w:style w:type="paragraph" w:customStyle="1" w:styleId="19">
    <w:name w:val="主送单位"/>
    <w:basedOn w:val="1"/>
    <w:link w:val="22"/>
    <w:qFormat/>
    <w:uiPriority w:val="0"/>
    <w:pPr>
      <w:jc w:val="left"/>
    </w:pPr>
    <w:rPr>
      <w:szCs w:val="32"/>
    </w:rPr>
  </w:style>
  <w:style w:type="character" w:customStyle="1" w:styleId="20">
    <w:name w:val="文号 Char"/>
    <w:link w:val="18"/>
    <w:qFormat/>
    <w:uiPriority w:val="0"/>
    <w:rPr>
      <w:rFonts w:ascii="Times New Roman" w:hAnsi="Times New Roman" w:eastAsia="方正小标宋简体"/>
      <w:bCs/>
      <w:color w:val="000000"/>
      <w:kern w:val="2"/>
      <w:sz w:val="32"/>
      <w:szCs w:val="44"/>
    </w:rPr>
  </w:style>
  <w:style w:type="paragraph" w:customStyle="1" w:styleId="21">
    <w:name w:val="其他1"/>
    <w:basedOn w:val="10"/>
    <w:link w:val="24"/>
    <w:qFormat/>
    <w:uiPriority w:val="0"/>
    <w:pPr>
      <w:spacing w:line="1280" w:lineRule="exact"/>
    </w:pPr>
    <w:rPr>
      <w:rFonts w:ascii="方正小标宋简体"/>
      <w:b/>
      <w:color w:val="FFFFFF"/>
      <w:sz w:val="52"/>
      <w:szCs w:val="52"/>
    </w:rPr>
  </w:style>
  <w:style w:type="character" w:customStyle="1" w:styleId="22">
    <w:name w:val="主送单位 Char"/>
    <w:link w:val="19"/>
    <w:qFormat/>
    <w:uiPriority w:val="0"/>
    <w:rPr>
      <w:rFonts w:ascii="Times New Roman" w:hAnsi="Times New Roman"/>
      <w:kern w:val="2"/>
      <w:sz w:val="32"/>
      <w:szCs w:val="32"/>
    </w:rPr>
  </w:style>
  <w:style w:type="paragraph" w:customStyle="1" w:styleId="23">
    <w:name w:val="其他2"/>
    <w:basedOn w:val="1"/>
    <w:link w:val="26"/>
    <w:qFormat/>
    <w:uiPriority w:val="0"/>
    <w:pPr>
      <w:spacing w:line="1280" w:lineRule="exact"/>
      <w:jc w:val="center"/>
    </w:pPr>
    <w:rPr>
      <w:rFonts w:ascii="方正小标宋简体" w:eastAsia="方正小标宋简体"/>
      <w:color w:val="FFFFFF"/>
      <w:spacing w:val="264"/>
      <w:kern w:val="0"/>
      <w:sz w:val="96"/>
      <w:szCs w:val="96"/>
      <w:fitText w:val="8400" w:id="391836928"/>
    </w:rPr>
  </w:style>
  <w:style w:type="character" w:customStyle="1" w:styleId="24">
    <w:name w:val="其他1 Char"/>
    <w:link w:val="21"/>
    <w:qFormat/>
    <w:uiPriority w:val="0"/>
    <w:rPr>
      <w:rFonts w:ascii="方正小标宋简体" w:hAnsi="Times New Roman" w:eastAsia="方正小标宋简体"/>
      <w:bCs/>
      <w:color w:val="FFFFFF"/>
      <w:kern w:val="2"/>
      <w:sz w:val="52"/>
      <w:szCs w:val="52"/>
    </w:rPr>
  </w:style>
  <w:style w:type="paragraph" w:customStyle="1" w:styleId="25">
    <w:name w:val="附件2"/>
    <w:basedOn w:val="1"/>
    <w:link w:val="28"/>
    <w:qFormat/>
    <w:uiPriority w:val="0"/>
    <w:pPr>
      <w:spacing w:line="560" w:lineRule="exact"/>
      <w:ind w:left="650" w:leftChars="500" w:hanging="150" w:hangingChars="150"/>
      <w:jc w:val="left"/>
    </w:pPr>
    <w:rPr>
      <w:szCs w:val="32"/>
    </w:rPr>
  </w:style>
  <w:style w:type="character" w:customStyle="1" w:styleId="26">
    <w:name w:val="其他2 Char"/>
    <w:link w:val="23"/>
    <w:qFormat/>
    <w:uiPriority w:val="0"/>
    <w:rPr>
      <w:rFonts w:ascii="方正小标宋简体" w:hAnsi="Times New Roman" w:eastAsia="方正小标宋简体"/>
      <w:color w:val="FFFFFF"/>
      <w:spacing w:val="264"/>
      <w:sz w:val="96"/>
      <w:szCs w:val="96"/>
      <w:fitText w:val="8400" w:id="391836928"/>
    </w:rPr>
  </w:style>
  <w:style w:type="paragraph" w:customStyle="1" w:styleId="27">
    <w:name w:val="附件1"/>
    <w:basedOn w:val="1"/>
    <w:link w:val="29"/>
    <w:qFormat/>
    <w:uiPriority w:val="0"/>
    <w:pPr>
      <w:spacing w:line="560" w:lineRule="exact"/>
      <w:ind w:left="650" w:leftChars="200" w:hanging="450" w:hangingChars="450"/>
      <w:jc w:val="left"/>
    </w:pPr>
    <w:rPr>
      <w:szCs w:val="32"/>
    </w:rPr>
  </w:style>
  <w:style w:type="character" w:customStyle="1" w:styleId="28">
    <w:name w:val="附件2 Char"/>
    <w:link w:val="25"/>
    <w:qFormat/>
    <w:uiPriority w:val="0"/>
    <w:rPr>
      <w:rFonts w:ascii="Times New Roman" w:hAnsi="Times New Roman"/>
      <w:kern w:val="2"/>
      <w:sz w:val="32"/>
      <w:szCs w:val="32"/>
    </w:rPr>
  </w:style>
  <w:style w:type="character" w:customStyle="1" w:styleId="29">
    <w:name w:val="附件1 Char"/>
    <w:link w:val="27"/>
    <w:qFormat/>
    <w:uiPriority w:val="0"/>
    <w:rPr>
      <w:rFonts w:ascii="Times New Roman" w:hAnsi="Times New Roman"/>
      <w:kern w:val="2"/>
      <w:sz w:val="32"/>
      <w:szCs w:val="32"/>
    </w:rPr>
  </w:style>
  <w:style w:type="paragraph" w:customStyle="1" w:styleId="30">
    <w:name w:val="要点（一）"/>
    <w:basedOn w:val="1"/>
    <w:link w:val="32"/>
    <w:qFormat/>
    <w:uiPriority w:val="0"/>
    <w:pPr>
      <w:jc w:val="left"/>
    </w:pPr>
    <w:rPr>
      <w:rFonts w:eastAsia="楷体_GB2312"/>
      <w:szCs w:val="32"/>
    </w:rPr>
  </w:style>
  <w:style w:type="paragraph" w:customStyle="1" w:styleId="31">
    <w:name w:val="落款日期"/>
    <w:basedOn w:val="1"/>
    <w:link w:val="34"/>
    <w:qFormat/>
    <w:uiPriority w:val="0"/>
    <w:pPr>
      <w:wordWrap w:val="0"/>
      <w:spacing w:line="560" w:lineRule="exact"/>
      <w:ind w:right="371" w:rightChars="371"/>
      <w:jc w:val="right"/>
    </w:pPr>
    <w:rPr>
      <w:rFonts w:ascii="仿宋_GB2312"/>
      <w:szCs w:val="32"/>
    </w:rPr>
  </w:style>
  <w:style w:type="character" w:customStyle="1" w:styleId="32">
    <w:name w:val="要点（一） Char"/>
    <w:link w:val="30"/>
    <w:qFormat/>
    <w:uiPriority w:val="0"/>
    <w:rPr>
      <w:rFonts w:ascii="Times New Roman" w:hAnsi="Times New Roman" w:eastAsia="楷体_GB2312"/>
      <w:kern w:val="2"/>
      <w:sz w:val="32"/>
      <w:szCs w:val="32"/>
    </w:rPr>
  </w:style>
  <w:style w:type="paragraph" w:customStyle="1" w:styleId="33">
    <w:name w:val="附件"/>
    <w:basedOn w:val="27"/>
    <w:link w:val="36"/>
    <w:qFormat/>
    <w:uiPriority w:val="0"/>
    <w:pPr>
      <w:spacing w:line="580" w:lineRule="exact"/>
      <w:ind w:left="0" w:leftChars="0" w:firstLine="200" w:firstLineChars="200"/>
      <w:jc w:val="both"/>
    </w:pPr>
    <w:rPr>
      <w:rFonts w:ascii="仿宋_GB2312"/>
    </w:rPr>
  </w:style>
  <w:style w:type="character" w:customStyle="1" w:styleId="34">
    <w:name w:val="落款日期 Char"/>
    <w:link w:val="31"/>
    <w:qFormat/>
    <w:uiPriority w:val="0"/>
    <w:rPr>
      <w:rFonts w:ascii="仿宋_GB2312" w:hAnsi="Times New Roman"/>
      <w:kern w:val="2"/>
      <w:sz w:val="32"/>
      <w:szCs w:val="32"/>
    </w:rPr>
  </w:style>
  <w:style w:type="paragraph" w:customStyle="1" w:styleId="35">
    <w:name w:val="要点一、"/>
    <w:basedOn w:val="1"/>
    <w:link w:val="37"/>
    <w:qFormat/>
    <w:uiPriority w:val="0"/>
    <w:rPr>
      <w:rFonts w:eastAsia="黑体"/>
    </w:rPr>
  </w:style>
  <w:style w:type="character" w:customStyle="1" w:styleId="36">
    <w:name w:val="附件 Char"/>
    <w:link w:val="33"/>
    <w:qFormat/>
    <w:uiPriority w:val="0"/>
    <w:rPr>
      <w:rFonts w:ascii="仿宋_GB2312" w:hAnsi="Times New Roman"/>
      <w:kern w:val="2"/>
      <w:sz w:val="32"/>
      <w:szCs w:val="32"/>
    </w:rPr>
  </w:style>
  <w:style w:type="character" w:customStyle="1" w:styleId="37">
    <w:name w:val="要点一、 Char"/>
    <w:link w:val="35"/>
    <w:qFormat/>
    <w:uiPriority w:val="0"/>
    <w:rPr>
      <w:rFonts w:ascii="Times New Roman" w:hAnsi="Times New Roman" w:eastAsia="黑体"/>
      <w:kern w:val="2"/>
      <w:sz w:val="32"/>
      <w:szCs w:val="24"/>
    </w:rPr>
  </w:style>
  <w:style w:type="character" w:customStyle="1" w:styleId="38">
    <w:name w:val="批注框文本 Char"/>
    <w:link w:val="5"/>
    <w:semiHidden/>
    <w:qFormat/>
    <w:uiPriority w:val="99"/>
    <w:rPr>
      <w:rFonts w:ascii="Times New Roman" w:hAnsi="Times New Roman"/>
      <w:kern w:val="2"/>
      <w:sz w:val="18"/>
      <w:szCs w:val="18"/>
    </w:rPr>
  </w:style>
  <w:style w:type="paragraph" w:styleId="39">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Backup\&#26700;&#38754;\&#38468;&#20214;1&#65306;&#20415;&#31614;&#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附件1：便签模板</Template>
  <Company>微软中国</Company>
  <Pages>3</Pages>
  <Words>1343</Words>
  <Characters>1399</Characters>
  <Lines>15</Lines>
  <Paragraphs>4</Paragraphs>
  <TotalTime>5</TotalTime>
  <ScaleCrop>false</ScaleCrop>
  <LinksUpToDate>false</LinksUpToDate>
  <CharactersWithSpaces>1408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2022-07-04T02:58:00Z</dcterms:created>
  <dc:creator>Administrator</dc:creator>
  <cp:lastModifiedBy>爱心妈妈</cp:lastModifiedBy>
  <cp:lastPrinted>2023-10-24T01:23:00Z</cp:lastPrinted>
  <dcterms:modified xsi:type="dcterms:W3CDTF">2024-11-01T07:33:33Z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CD6B69693C7349E7911191B681D8705F_13</vt:lpwstr>
  </property>
  <property fmtid="{D5CDD505-2E9C-101B-9397-08002B2CF9AE}" pid="3" name="KSOProductBuildVer">
    <vt:lpwstr>2052-12.1.0.18608</vt:lpwstr>
  </property>
</Properties>
</file>