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left"/>
        <w:outlineLvl w:val="0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</w:t>
      </w:r>
    </w:p>
    <w:tbl>
      <w:tblPr>
        <w:tblStyle w:val="4"/>
        <w:tblpPr w:leftFromText="180" w:rightFromText="180" w:vertAnchor="text" w:horzAnchor="page" w:tblpXSpec="center" w:tblpY="77"/>
        <w:tblOverlap w:val="never"/>
        <w:tblW w:w="15453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0"/>
        <w:gridCol w:w="1560"/>
        <w:gridCol w:w="2697"/>
        <w:gridCol w:w="1440"/>
        <w:gridCol w:w="7200"/>
        <w:gridCol w:w="1655"/>
        <w:gridCol w:w="6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1" w:type="dxa"/>
          <w:trHeight w:val="968" w:hRule="atLeast"/>
          <w:jc w:val="center"/>
        </w:trPr>
        <w:tc>
          <w:tcPr>
            <w:tcW w:w="15392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600" w:lineRule="exact"/>
              <w:jc w:val="center"/>
              <w:textAlignment w:val="center"/>
              <w:rPr>
                <w:rFonts w:eastAsia="方正小标宋简体"/>
                <w:color w:val="000000" w:themeColor="text1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方正小标宋简体"/>
                <w:color w:val="000000" w:themeColor="text1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eastAsia="方正小标宋简体"/>
                <w:color w:val="000000" w:themeColor="text1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eastAsia="方正小标宋简体"/>
                <w:color w:val="000000" w:themeColor="text1"/>
                <w:sz w:val="44"/>
                <w:szCs w:val="4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eastAsia="方正小标宋简体"/>
                <w:color w:val="000000" w:themeColor="text1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eastAsia="方正小标宋简体"/>
                <w:color w:val="000000" w:themeColor="text1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  <w:t>成都市</w:t>
            </w:r>
            <w:r>
              <w:rPr>
                <w:rFonts w:eastAsia="方正小标宋简体"/>
                <w:color w:val="000000" w:themeColor="text1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  <w:t>新津</w:t>
            </w:r>
            <w:r>
              <w:rPr>
                <w:rFonts w:hint="eastAsia" w:eastAsia="方正小标宋简体"/>
                <w:color w:val="000000" w:themeColor="text1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  <w:t>区</w:t>
            </w:r>
            <w:r>
              <w:rPr>
                <w:rFonts w:eastAsia="方正小标宋简体"/>
                <w:color w:val="000000" w:themeColor="text1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  <w:t>赴</w:t>
            </w:r>
            <w:r>
              <w:rPr>
                <w:rFonts w:hint="eastAsia" w:eastAsia="方正小标宋简体"/>
                <w:color w:val="000000" w:themeColor="text1"/>
                <w:sz w:val="44"/>
                <w:szCs w:val="44"/>
                <w:lang w:eastAsia="zh-CN"/>
                <w14:textFill>
                  <w14:solidFill>
                    <w14:schemeClr w14:val="tx1"/>
                  </w14:solidFill>
                </w14:textFill>
              </w:rPr>
              <w:t>重庆</w:t>
            </w:r>
            <w:r>
              <w:rPr>
                <w:rFonts w:eastAsia="方正小标宋简体"/>
                <w:color w:val="000000" w:themeColor="text1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  <w:t>选聘事业单位优秀人才</w:t>
            </w:r>
            <w:r>
              <w:rPr>
                <w:rFonts w:hint="eastAsia" w:eastAsia="方正小标宋简体"/>
                <w:color w:val="000000" w:themeColor="text1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  <w:t>岗位表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eastAsia="黑体"/>
                <w:b w:val="0"/>
                <w:bCs w:val="0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b w:val="0"/>
                <w:bCs w:val="0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岗位代码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eastAsia="黑体"/>
                <w:b w:val="0"/>
                <w:bCs w:val="0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黑体"/>
                <w:b w:val="0"/>
                <w:bCs w:val="0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类别</w:t>
            </w:r>
          </w:p>
        </w:tc>
        <w:tc>
          <w:tcPr>
            <w:tcW w:w="269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eastAsia="黑体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b w:val="0"/>
                <w:bCs w:val="0"/>
                <w:color w:val="000000" w:themeColor="text1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选聘单位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eastAsia="黑体"/>
                <w:b w:val="0"/>
                <w:bCs w:val="0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b w:val="0"/>
                <w:bCs w:val="0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选聘</w:t>
            </w:r>
            <w:r>
              <w:rPr>
                <w:rFonts w:eastAsia="黑体"/>
                <w:b w:val="0"/>
                <w:bCs w:val="0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人数</w:t>
            </w:r>
          </w:p>
        </w:tc>
        <w:tc>
          <w:tcPr>
            <w:tcW w:w="72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eastAsia="黑体"/>
                <w:b w:val="0"/>
                <w:bCs w:val="0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黑体"/>
                <w:b w:val="0"/>
                <w:bCs w:val="0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专业要求</w:t>
            </w:r>
          </w:p>
        </w:tc>
        <w:tc>
          <w:tcPr>
            <w:tcW w:w="1716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eastAsia="黑体"/>
                <w:b w:val="0"/>
                <w:bCs w:val="0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b w:val="0"/>
                <w:bCs w:val="0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学历学位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eastAsia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经济管理类</w:t>
            </w:r>
          </w:p>
        </w:tc>
        <w:tc>
          <w:tcPr>
            <w:tcW w:w="2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成都市新津区人力资源服务中心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default" w:eastAsia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eastAsia="仿宋_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数字经济、理论经济学、应用经济学、工商管理学、农林经济管理、金融、会计、应用统计、税务、国际商务、保险、资产评估、审计、数学、统计学</w:t>
            </w:r>
          </w:p>
        </w:tc>
        <w:tc>
          <w:tcPr>
            <w:tcW w:w="171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jc w:val="both"/>
              <w:textAlignment w:val="center"/>
              <w:rPr>
                <w:rFonts w:ascii="仿宋_GB2312" w:hAnsi="宋体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研究</w:t>
            </w:r>
            <w:r>
              <w:rPr>
                <w:rFonts w:hint="eastAsia" w:eastAsia="仿宋_GB2312"/>
                <w:color w:val="000000" w:themeColor="text1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生学</w:t>
            </w:r>
            <w:r>
              <w:rPr>
                <w:rFonts w:hint="eastAsia" w:eastAsia="仿宋_GB2312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历，取得学历相应学位。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电子信息类</w:t>
            </w:r>
          </w:p>
        </w:tc>
        <w:tc>
          <w:tcPr>
            <w:tcW w:w="2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成都市新津区人力资源服务中心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信息与通信工程、计算机科学与技术、网络空间安全、电子信息、信息资源管理、软件工程、智能科学与技术、电子科学与技术、集成电路科学与工程、安全科学与工程</w:t>
            </w:r>
          </w:p>
        </w:tc>
        <w:tc>
          <w:tcPr>
            <w:tcW w:w="171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eastAsia="仿宋_GB2312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  <w:jc w:val="center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default" w:eastAsia="宋体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05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eastAsia="仿宋_GB2312"/>
                <w:color w:val="000000" w:themeColor="text1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智能制造类</w:t>
            </w:r>
          </w:p>
        </w:tc>
        <w:tc>
          <w:tcPr>
            <w:tcW w:w="2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28"/>
                <w:szCs w:val="2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成都市新津区人力资源服务中心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atLeas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eastAsia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color w:val="000000" w:themeColor="text1"/>
                <w:kern w:val="0"/>
                <w:sz w:val="28"/>
                <w:szCs w:val="28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机械、机械工程、材料科学与工程、电气工程、控制科学与工程、食品科学与工程、交通运输工程、交通运输、化学、化学工程与技术、能源动力、生物学、生物工程</w:t>
            </w:r>
          </w:p>
        </w:tc>
        <w:tc>
          <w:tcPr>
            <w:tcW w:w="171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eastAsia="仿宋_GB2312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atLeast"/>
        <w:ind w:left="0" w:leftChars="0" w:right="0" w:rightChars="0" w:firstLine="0" w:firstLineChars="0"/>
        <w:jc w:val="left"/>
        <w:textAlignment w:val="center"/>
        <w:outlineLvl w:val="9"/>
        <w:rPr>
          <w:rFonts w:hint="eastAsia" w:eastAsia="仿宋_GB2312"/>
          <w:color w:val="000000" w:themeColor="text1"/>
          <w:kern w:val="0"/>
          <w:sz w:val="28"/>
          <w:szCs w:val="28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sectPr>
          <w:pgSz w:w="16783" w:h="11850" w:orient="landscape"/>
          <w:pgMar w:top="1191" w:right="1304" w:bottom="1192" w:left="1304" w:header="851" w:footer="992" w:gutter="0"/>
          <w:cols w:space="720" w:num="1"/>
          <w:docGrid w:type="lines" w:linePitch="312" w:charSpace="0"/>
        </w:sectPr>
      </w:pPr>
      <w:bookmarkStart w:id="0" w:name="_GoBack"/>
      <w:bookmarkEnd w:id="0"/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254B66"/>
    <w:rsid w:val="02BC0561"/>
    <w:rsid w:val="077D2B3B"/>
    <w:rsid w:val="07BD3A6A"/>
    <w:rsid w:val="09743A9D"/>
    <w:rsid w:val="0B330AC7"/>
    <w:rsid w:val="17254B66"/>
    <w:rsid w:val="1A6F2B68"/>
    <w:rsid w:val="22E012C8"/>
    <w:rsid w:val="25CC3142"/>
    <w:rsid w:val="278A0B13"/>
    <w:rsid w:val="31163A23"/>
    <w:rsid w:val="311F39A8"/>
    <w:rsid w:val="35BE0E3C"/>
    <w:rsid w:val="36403B8E"/>
    <w:rsid w:val="36EA2D3B"/>
    <w:rsid w:val="38190165"/>
    <w:rsid w:val="3E8E6A67"/>
    <w:rsid w:val="58797607"/>
    <w:rsid w:val="63351B8D"/>
    <w:rsid w:val="692B2BD5"/>
    <w:rsid w:val="6DBB36FB"/>
    <w:rsid w:val="76B911A1"/>
    <w:rsid w:val="774D2ACB"/>
    <w:rsid w:val="7A352E69"/>
    <w:rsid w:val="7C557755"/>
    <w:rsid w:val="7D8C1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2024-10-15T03:35:00Z</dcterms:created>
  <dc:creator>PC</dc:creator>
  <cp:lastModifiedBy>PC</cp:lastModifiedBy>
  <dcterms:modified xsi:type="dcterms:W3CDTF">2024-10-15T03:36:10Z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