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themeFill="background1"/>
        <w:adjustRightInd w:val="0"/>
        <w:snapToGrid w:val="0"/>
        <w:spacing w:line="600" w:lineRule="exact"/>
        <w:ind w:left="105" w:leftChars="50"/>
        <w:jc w:val="center"/>
        <w:rPr>
          <w:rFonts w:ascii="方正小标宋简体" w:hAnsi="华文中宋" w:eastAsia="方正小标宋简体" w:cs="宋体"/>
          <w:kern w:val="0"/>
          <w:sz w:val="36"/>
          <w:szCs w:val="36"/>
        </w:rPr>
      </w:pPr>
      <w:bookmarkStart w:id="0" w:name="_GoBack"/>
      <w:r>
        <w:rPr>
          <w:rFonts w:hint="eastAsia" w:ascii="方正小标宋简体" w:hAnsi="华文中宋" w:eastAsia="方正小标宋简体" w:cs="宋体"/>
          <w:kern w:val="0"/>
          <w:sz w:val="36"/>
          <w:szCs w:val="36"/>
        </w:rPr>
        <w:t>浙江省应急管理科学研究院2024年度合同制人员招聘计划表</w:t>
      </w:r>
    </w:p>
    <w:bookmarkEnd w:id="0"/>
    <w:p>
      <w:pPr>
        <w:shd w:val="clear" w:color="auto" w:fill="FFFFFF" w:themeFill="background1"/>
        <w:adjustRightInd w:val="0"/>
        <w:snapToGrid w:val="0"/>
        <w:ind w:left="105" w:leftChars="50"/>
        <w:jc w:val="center"/>
        <w:rPr>
          <w:rFonts w:ascii="方正小标宋简体" w:hAnsi="华文中宋" w:eastAsia="方正小标宋简体" w:cs="宋体"/>
          <w:kern w:val="0"/>
          <w:szCs w:val="21"/>
        </w:rPr>
      </w:pPr>
    </w:p>
    <w:tbl>
      <w:tblPr>
        <w:tblStyle w:val="20"/>
        <w:tblW w:w="158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933"/>
        <w:gridCol w:w="618"/>
        <w:gridCol w:w="622"/>
        <w:gridCol w:w="644"/>
        <w:gridCol w:w="2514"/>
        <w:gridCol w:w="974"/>
        <w:gridCol w:w="826"/>
        <w:gridCol w:w="3729"/>
        <w:gridCol w:w="4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901"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部门</w:t>
            </w:r>
          </w:p>
        </w:tc>
        <w:tc>
          <w:tcPr>
            <w:tcW w:w="933"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岗位</w:t>
            </w:r>
          </w:p>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名称</w:t>
            </w:r>
          </w:p>
        </w:tc>
        <w:tc>
          <w:tcPr>
            <w:tcW w:w="618"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招聘人数</w:t>
            </w:r>
          </w:p>
        </w:tc>
        <w:tc>
          <w:tcPr>
            <w:tcW w:w="622"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招聘</w:t>
            </w:r>
          </w:p>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对象</w:t>
            </w:r>
          </w:p>
        </w:tc>
        <w:tc>
          <w:tcPr>
            <w:tcW w:w="644"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年龄上限</w:t>
            </w:r>
          </w:p>
        </w:tc>
        <w:tc>
          <w:tcPr>
            <w:tcW w:w="2514"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专业</w:t>
            </w:r>
          </w:p>
        </w:tc>
        <w:tc>
          <w:tcPr>
            <w:tcW w:w="974"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学历</w:t>
            </w:r>
          </w:p>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学位</w:t>
            </w:r>
          </w:p>
        </w:tc>
        <w:tc>
          <w:tcPr>
            <w:tcW w:w="826"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专业技术资格</w:t>
            </w:r>
          </w:p>
        </w:tc>
        <w:tc>
          <w:tcPr>
            <w:tcW w:w="3729"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招聘条件</w:t>
            </w:r>
          </w:p>
        </w:tc>
        <w:tc>
          <w:tcPr>
            <w:tcW w:w="4110"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岗位职责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shd w:val="clear" w:color="auto" w:fill="auto"/>
            <w:vAlign w:val="center"/>
          </w:tcPr>
          <w:p>
            <w:pPr>
              <w:widowControl/>
              <w:spacing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党群人事部（1人）</w:t>
            </w: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人事管理岗</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工商管理（人力资源管理方向）、</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公共管理（行政管理方向）</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1.中共</w:t>
            </w:r>
            <w:r>
              <w:rPr>
                <w:rFonts w:ascii="仿宋_GB2312" w:hAnsi="等线" w:eastAsia="仿宋_GB2312" w:cs="宋体"/>
                <w:kern w:val="0"/>
                <w:sz w:val="20"/>
                <w:szCs w:val="20"/>
              </w:rPr>
              <w:t>正式</w:t>
            </w:r>
            <w:r>
              <w:rPr>
                <w:rFonts w:hint="eastAsia" w:ascii="仿宋_GB2312" w:hAnsi="等线" w:eastAsia="仿宋_GB2312" w:cs="宋体"/>
                <w:kern w:val="0"/>
                <w:sz w:val="20"/>
                <w:szCs w:val="20"/>
              </w:rPr>
              <w:t>党员，具有较强的沟通协调能力</w:t>
            </w:r>
            <w:r>
              <w:rPr>
                <w:rFonts w:ascii="仿宋_GB2312" w:hAnsi="等线" w:eastAsia="仿宋_GB2312" w:cs="宋体"/>
                <w:kern w:val="0"/>
                <w:sz w:val="20"/>
                <w:szCs w:val="20"/>
              </w:rPr>
              <w:t>和</w:t>
            </w:r>
            <w:r>
              <w:rPr>
                <w:rFonts w:hint="eastAsia" w:ascii="仿宋_GB2312" w:hAnsi="等线" w:eastAsia="仿宋_GB2312" w:cs="宋体"/>
                <w:kern w:val="0"/>
                <w:sz w:val="20"/>
                <w:szCs w:val="20"/>
              </w:rPr>
              <w:t>文字表达能力。</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2.985、211、双一流建设高校（以教育部公布的“双一流”建设高校名单为准）毕业的优先。</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3.博士研究生优先。</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4.具有3年及以上人事相关工作经历者，专业可放宽至理工科类专业。</w:t>
            </w:r>
          </w:p>
        </w:tc>
        <w:tc>
          <w:tcPr>
            <w:tcW w:w="4110" w:type="dxa"/>
            <w:shd w:val="clear" w:color="auto" w:fill="auto"/>
            <w:vAlign w:val="center"/>
          </w:tcPr>
          <w:p>
            <w:pPr>
              <w:widowControl/>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1.承担人才引进、储备管理相关工作;</w:t>
            </w:r>
          </w:p>
          <w:p>
            <w:pPr>
              <w:tabs>
                <w:tab w:val="left" w:pos="8306"/>
              </w:tabs>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1）加强人才引进、队伍建设相关政策法规研究，根据单位和部门发展规划，提出人才引进、储备管理等相关工作意见建议。（2）开展人员招聘。制定年度人员招聘计划，组织开展在编人员、聘用人员招聘工作；根据需要开展实习生、劳务人员招聘管理。</w:t>
            </w:r>
          </w:p>
          <w:p>
            <w:pPr>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2.承担个人考核、内部调配流动等相关工作;</w:t>
            </w:r>
          </w:p>
          <w:p>
            <w:pPr>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3.承担在职职工和退休职工管理服务相关工作;</w:t>
            </w:r>
          </w:p>
          <w:p>
            <w:pPr>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4.完成领导交办的其他工作。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restart"/>
            <w:shd w:val="clear" w:color="auto" w:fill="auto"/>
            <w:vAlign w:val="center"/>
          </w:tcPr>
          <w:p>
            <w:pPr>
              <w:widowControl/>
              <w:spacing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科技发展部</w:t>
            </w:r>
          </w:p>
          <w:p>
            <w:pPr>
              <w:widowControl/>
              <w:spacing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（2人）</w:t>
            </w: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应急管理政策研究</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1.公共管理、社会学、应急管理、安全工程等相关专业；</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2.具备“理工科+管理”复合型专业背景优先。</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1.具有较强的沟通协调能力</w:t>
            </w:r>
            <w:r>
              <w:rPr>
                <w:rFonts w:ascii="仿宋_GB2312" w:hAnsi="等线" w:eastAsia="仿宋_GB2312" w:cs="宋体"/>
                <w:kern w:val="0"/>
                <w:sz w:val="20"/>
                <w:szCs w:val="20"/>
              </w:rPr>
              <w:t>和</w:t>
            </w:r>
            <w:r>
              <w:rPr>
                <w:rFonts w:hint="eastAsia" w:ascii="仿宋_GB2312" w:hAnsi="等线" w:eastAsia="仿宋_GB2312" w:cs="宋体"/>
                <w:kern w:val="0"/>
                <w:sz w:val="20"/>
                <w:szCs w:val="20"/>
              </w:rPr>
              <w:t>文字表达能力；</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2.具备以下条件的优先考虑：（1）承担应急管理领域科研项目或取得标志性成果；（2）在应急管理领域专业期刊发表论文，或在权威杂志、宣传媒体发表专题报道；（3）有撰写决策参阅报告的经历；（4）具有数字化专业背景；（5）博士研究生。</w:t>
            </w:r>
          </w:p>
        </w:tc>
        <w:tc>
          <w:tcPr>
            <w:tcW w:w="4110" w:type="dxa"/>
            <w:shd w:val="clear" w:color="auto" w:fill="auto"/>
            <w:vAlign w:val="center"/>
          </w:tcPr>
          <w:p>
            <w:pPr>
              <w:widowControl/>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1.跟踪研究国内外安全生产、防灾减灾和应急管理领域政策、理论及技术发展趋势，撰写相关课题研究报告及形势分析报告；</w:t>
            </w:r>
          </w:p>
          <w:p>
            <w:pPr>
              <w:widowControl/>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2.开展浙江省和地方安全生产治理体系、基层应急体系、法规标准体系研究，参与前瞻性课题研究和应急基础建设项目，撰写研究报告、发展规划、政策文件及实施方案；</w:t>
            </w:r>
          </w:p>
          <w:p>
            <w:pPr>
              <w:widowControl/>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3.开展应急管理政策研究领域技术支撑服务工作，编制项目建议书、可行性报告及评估报告等。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创新战略研究（智库管理）</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1.管理科学与工程、城乡规划、社会学、公共管理等相关专业；2.具备数字化和“理工科+管理”复合型专业背景优先。</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1.具有较强的沟通协调能力</w:t>
            </w:r>
            <w:r>
              <w:rPr>
                <w:rFonts w:ascii="仿宋_GB2312" w:hAnsi="等线" w:eastAsia="仿宋_GB2312" w:cs="宋体"/>
                <w:kern w:val="0"/>
                <w:sz w:val="20"/>
                <w:szCs w:val="20"/>
              </w:rPr>
              <w:t>和</w:t>
            </w:r>
            <w:r>
              <w:rPr>
                <w:rFonts w:hint="eastAsia" w:ascii="仿宋_GB2312" w:hAnsi="等线" w:eastAsia="仿宋_GB2312" w:cs="宋体"/>
                <w:kern w:val="0"/>
                <w:sz w:val="20"/>
                <w:szCs w:val="20"/>
              </w:rPr>
              <w:t>文字表达能力；</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2.具备以下条件的优先考虑：（1）承担应急管理领域科研项目或取得标志性成果；（2）在应急管理领域专业期刊发表论文，或在权威杂志、宣传媒体发表专题报道；（3）有撰写决策参阅报告的经历；（4）具有数字化专业背景；（5）博士研究生。</w:t>
            </w:r>
          </w:p>
        </w:tc>
        <w:tc>
          <w:tcPr>
            <w:tcW w:w="4110" w:type="dxa"/>
            <w:shd w:val="clear" w:color="auto" w:fill="auto"/>
            <w:vAlign w:val="center"/>
          </w:tcPr>
          <w:p>
            <w:pPr>
              <w:widowControl/>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1.跟踪梳理国内外重点地区应急管理创新战略、创新政策、创新平台等动态，开展对比研究，参与国家、浙江省和地方专项研究课题以及示范试点项目建设，撰写研究报告及形势分析报告；</w:t>
            </w:r>
          </w:p>
          <w:p>
            <w:pPr>
              <w:widowControl/>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2.开展应急管理决策咨询，运用人工智能、大数据及可视化工具开展模型构建与应用，为生产安全事故统计分析及应急管理事业发展规划、行动计划和实施方案编制提供支撑；</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sz w:val="20"/>
                <w:szCs w:val="20"/>
                <w14:ligatures w14:val="standardContextual"/>
              </w:rPr>
              <w:t>3.承担应急管理智库管理工作，组织开展决策咨询报告编制工作，加强机制建设保障。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restart"/>
            <w:shd w:val="clear" w:color="auto" w:fill="auto"/>
            <w:vAlign w:val="center"/>
          </w:tcPr>
          <w:p>
            <w:pPr>
              <w:widowControl/>
              <w:spacing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防灾所（5人）</w:t>
            </w: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防灾减灾科研岗位</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空间天气学、3S集成与气象应用、水文气象学、应用气象学等相关专业。</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1.具有较强的学习能力、科研能力和创新意识；</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2.具有较强的沟通协调能力</w:t>
            </w:r>
            <w:r>
              <w:rPr>
                <w:rFonts w:ascii="仿宋_GB2312" w:hAnsi="等线" w:eastAsia="仿宋_GB2312" w:cs="宋体"/>
                <w:kern w:val="0"/>
                <w:sz w:val="20"/>
                <w:szCs w:val="20"/>
              </w:rPr>
              <w:t>和</w:t>
            </w:r>
            <w:r>
              <w:rPr>
                <w:rFonts w:hint="eastAsia" w:ascii="仿宋_GB2312" w:hAnsi="等线" w:eastAsia="仿宋_GB2312" w:cs="宋体"/>
                <w:kern w:val="0"/>
                <w:sz w:val="20"/>
                <w:szCs w:val="20"/>
              </w:rPr>
              <w:t>文字表达能力；</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3.具备一定突发事件处理能力；</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4.985、211、双一流建设高校（以教育部公布的“双一流”建设高校名单为准）毕业的优先；</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5.博士研究生优先；</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6.气象灾害相关研究方向者优先。</w:t>
            </w:r>
          </w:p>
        </w:tc>
        <w:tc>
          <w:tcPr>
            <w:tcW w:w="4110" w:type="dxa"/>
            <w:shd w:val="clear" w:color="auto" w:fill="auto"/>
          </w:tcPr>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1.开展防灾减灾方向科学理论、政策法规研究和防灾减灾新</w:t>
            </w:r>
            <w:r>
              <w:rPr>
                <w:rFonts w:hint="eastAsia" w:ascii="仿宋_GB2312" w:hAnsi="等线" w:eastAsia="仿宋_GB2312" w:cs="宋体"/>
                <w:kern w:val="0"/>
                <w:sz w:val="20"/>
                <w:szCs w:val="20"/>
              </w:rPr>
              <w:t>技术、新装备的研究推广;</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2.承担综合风险普查、风险评估与区划、风险研判、风险管</w:t>
            </w:r>
            <w:r>
              <w:rPr>
                <w:rFonts w:hint="eastAsia" w:ascii="仿宋_GB2312" w:hAnsi="等线" w:eastAsia="仿宋_GB2312" w:cs="宋体"/>
                <w:kern w:val="0"/>
                <w:sz w:val="20"/>
                <w:szCs w:val="20"/>
              </w:rPr>
              <w:t>控等技术支撑工作;</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3.承担自然灾害各类预案</w:t>
            </w:r>
            <w:r>
              <w:rPr>
                <w:rFonts w:hint="eastAsia" w:ascii="仿宋_GB2312" w:hAnsi="等线" w:eastAsia="仿宋_GB2312" w:cs="宋体"/>
                <w:kern w:val="0"/>
                <w:sz w:val="20"/>
                <w:szCs w:val="20"/>
              </w:rPr>
              <w:t>、</w:t>
            </w:r>
            <w:r>
              <w:rPr>
                <w:rFonts w:ascii="仿宋_GB2312" w:hAnsi="等线" w:eastAsia="仿宋_GB2312" w:cs="宋体"/>
                <w:kern w:val="0"/>
                <w:sz w:val="20"/>
                <w:szCs w:val="20"/>
              </w:rPr>
              <w:t>规则、导则</w:t>
            </w:r>
            <w:r>
              <w:rPr>
                <w:rFonts w:hint="eastAsia" w:ascii="仿宋_GB2312" w:hAnsi="等线" w:eastAsia="仿宋_GB2312" w:cs="宋体"/>
                <w:kern w:val="0"/>
                <w:sz w:val="20"/>
                <w:szCs w:val="20"/>
              </w:rPr>
              <w:t>、</w:t>
            </w:r>
            <w:r>
              <w:rPr>
                <w:rFonts w:ascii="仿宋_GB2312" w:hAnsi="等线" w:eastAsia="仿宋_GB2312" w:cs="宋体"/>
                <w:kern w:val="0"/>
                <w:sz w:val="20"/>
                <w:szCs w:val="20"/>
              </w:rPr>
              <w:t>指南、调查</w:t>
            </w:r>
            <w:r>
              <w:rPr>
                <w:rFonts w:hint="eastAsia" w:ascii="仿宋_GB2312" w:hAnsi="等线" w:eastAsia="仿宋_GB2312" w:cs="宋体"/>
                <w:kern w:val="0"/>
                <w:sz w:val="20"/>
                <w:szCs w:val="20"/>
              </w:rPr>
              <w:t>、</w:t>
            </w:r>
            <w:r>
              <w:rPr>
                <w:rFonts w:ascii="仿宋_GB2312" w:hAnsi="等线" w:eastAsia="仿宋_GB2312" w:cs="宋体"/>
                <w:kern w:val="0"/>
                <w:sz w:val="20"/>
                <w:szCs w:val="20"/>
              </w:rPr>
              <w:t>评估</w:t>
            </w:r>
            <w:r>
              <w:rPr>
                <w:rFonts w:hint="eastAsia" w:ascii="仿宋_GB2312" w:hAnsi="等线" w:eastAsia="仿宋_GB2312" w:cs="宋体"/>
                <w:kern w:val="0"/>
                <w:sz w:val="20"/>
                <w:szCs w:val="20"/>
              </w:rPr>
              <w:t>等方面的技术研究以及基层防灾减灾管理模式和能力建设研究;</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4.</w:t>
            </w:r>
            <w:r>
              <w:rPr>
                <w:rFonts w:ascii="仿宋_GB2312" w:hAnsi="等线" w:eastAsia="仿宋_GB2312" w:cs="宋体"/>
                <w:kern w:val="0"/>
                <w:sz w:val="20"/>
                <w:szCs w:val="20"/>
              </w:rPr>
              <w:t>协助开展自然灾害等突发事件的灾前监测预警、灾中风险</w:t>
            </w:r>
            <w:r>
              <w:rPr>
                <w:rFonts w:hint="eastAsia" w:ascii="仿宋_GB2312" w:hAnsi="等线" w:eastAsia="仿宋_GB2312" w:cs="宋体"/>
                <w:kern w:val="0"/>
                <w:sz w:val="20"/>
                <w:szCs w:val="20"/>
              </w:rPr>
              <w:t>防控以及灾后调查评估;</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5.开展省（部）级各类科研项目的申报、实施、验收、成果转化与推广等研究工作;</w:t>
            </w:r>
          </w:p>
          <w:p>
            <w:pPr>
              <w:widowControl/>
              <w:spacing w:after="160" w:line="280" w:lineRule="exact"/>
              <w:rPr>
                <w:rFonts w:ascii="仿宋_GB2312" w:hAnsi="等线" w:eastAsia="仿宋_GB2312"/>
                <w:sz w:val="20"/>
                <w:szCs w:val="20"/>
                <w14:ligatures w14:val="standardContextual"/>
              </w:rPr>
            </w:pPr>
            <w:r>
              <w:rPr>
                <w:rFonts w:hint="eastAsia" w:ascii="仿宋_GB2312" w:hAnsi="等线" w:eastAsia="仿宋_GB2312" w:cs="宋体"/>
                <w:kern w:val="0"/>
                <w:sz w:val="20"/>
                <w:szCs w:val="20"/>
              </w:rPr>
              <w:t>6</w:t>
            </w:r>
            <w:r>
              <w:rPr>
                <w:rFonts w:ascii="仿宋_GB2312" w:hAnsi="等线" w:eastAsia="仿宋_GB2312" w:cs="宋体"/>
                <w:kern w:val="0"/>
                <w:sz w:val="20"/>
                <w:szCs w:val="20"/>
              </w:rPr>
              <w:t>.完成院领导交办的其他任务。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防灾减灾技术支撑和技术服务岗位</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2</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水利工程、水力学及河流动力学、水文学及水资源、水灾害与水安全等相关专业。</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p>
        </w:tc>
        <w:tc>
          <w:tcPr>
            <w:tcW w:w="3729" w:type="dxa"/>
            <w:shd w:val="clear" w:color="auto" w:fill="auto"/>
            <w:vAlign w:val="center"/>
          </w:tcPr>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1.具有较强的学习能力、支撑服务意识和吃苦耐劳精神；</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2.具有较强的沟通协调能力、文字表达能力；</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3.具备一定突发事件处理能力；</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4.985、211、双一流建设高校（以教育部公布的“双一流”建设高校名单为准）毕业的优先；</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5.博士研究生优先；</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6.洪涝灾害相关研究方向者优先。</w:t>
            </w:r>
          </w:p>
        </w:tc>
        <w:tc>
          <w:tcPr>
            <w:tcW w:w="4110" w:type="dxa"/>
            <w:shd w:val="clear" w:color="auto" w:fill="auto"/>
          </w:tcPr>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1.开展防灾减灾方向科学理论、政策法规研究和防灾减灾新</w:t>
            </w:r>
            <w:r>
              <w:rPr>
                <w:rFonts w:hint="eastAsia" w:ascii="仿宋_GB2312" w:hAnsi="等线" w:eastAsia="仿宋_GB2312" w:cs="宋体"/>
                <w:kern w:val="0"/>
                <w:sz w:val="20"/>
                <w:szCs w:val="20"/>
              </w:rPr>
              <w:t>技术、新装备的研究推广;</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2.承担综合风险普查、风险评估与区划、风险研判、风险管</w:t>
            </w:r>
            <w:r>
              <w:rPr>
                <w:rFonts w:hint="eastAsia" w:ascii="仿宋_GB2312" w:hAnsi="等线" w:eastAsia="仿宋_GB2312" w:cs="宋体"/>
                <w:kern w:val="0"/>
                <w:sz w:val="20"/>
                <w:szCs w:val="20"/>
              </w:rPr>
              <w:t>控等技术支撑工作;</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3.承担自然灾害各类预案</w:t>
            </w:r>
            <w:r>
              <w:rPr>
                <w:rFonts w:hint="eastAsia" w:ascii="仿宋_GB2312" w:hAnsi="等线" w:eastAsia="仿宋_GB2312" w:cs="宋体"/>
                <w:kern w:val="0"/>
                <w:sz w:val="20"/>
                <w:szCs w:val="20"/>
              </w:rPr>
              <w:t>、</w:t>
            </w:r>
            <w:r>
              <w:rPr>
                <w:rFonts w:ascii="仿宋_GB2312" w:hAnsi="等线" w:eastAsia="仿宋_GB2312" w:cs="宋体"/>
                <w:kern w:val="0"/>
                <w:sz w:val="20"/>
                <w:szCs w:val="20"/>
              </w:rPr>
              <w:t>规则、导则</w:t>
            </w:r>
            <w:r>
              <w:rPr>
                <w:rFonts w:hint="eastAsia" w:ascii="仿宋_GB2312" w:hAnsi="等线" w:eastAsia="仿宋_GB2312" w:cs="宋体"/>
                <w:kern w:val="0"/>
                <w:sz w:val="20"/>
                <w:szCs w:val="20"/>
              </w:rPr>
              <w:t>、</w:t>
            </w:r>
            <w:r>
              <w:rPr>
                <w:rFonts w:ascii="仿宋_GB2312" w:hAnsi="等线" w:eastAsia="仿宋_GB2312" w:cs="宋体"/>
                <w:kern w:val="0"/>
                <w:sz w:val="20"/>
                <w:szCs w:val="20"/>
              </w:rPr>
              <w:t>指南、调查</w:t>
            </w:r>
            <w:r>
              <w:rPr>
                <w:rFonts w:hint="eastAsia" w:ascii="仿宋_GB2312" w:hAnsi="等线" w:eastAsia="仿宋_GB2312" w:cs="宋体"/>
                <w:kern w:val="0"/>
                <w:sz w:val="20"/>
                <w:szCs w:val="20"/>
              </w:rPr>
              <w:t>、</w:t>
            </w:r>
            <w:r>
              <w:rPr>
                <w:rFonts w:ascii="仿宋_GB2312" w:hAnsi="等线" w:eastAsia="仿宋_GB2312" w:cs="宋体"/>
                <w:kern w:val="0"/>
                <w:sz w:val="20"/>
                <w:szCs w:val="20"/>
              </w:rPr>
              <w:t>评估</w:t>
            </w:r>
            <w:r>
              <w:rPr>
                <w:rFonts w:hint="eastAsia" w:ascii="仿宋_GB2312" w:hAnsi="等线" w:eastAsia="仿宋_GB2312" w:cs="宋体"/>
                <w:kern w:val="0"/>
                <w:sz w:val="20"/>
                <w:szCs w:val="20"/>
              </w:rPr>
              <w:t>等方面的技术研究以及基层防灾减灾管理模式和能力建设研究;</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4.</w:t>
            </w:r>
            <w:r>
              <w:rPr>
                <w:rFonts w:ascii="仿宋_GB2312" w:hAnsi="等线" w:eastAsia="仿宋_GB2312" w:cs="宋体"/>
                <w:kern w:val="0"/>
                <w:sz w:val="20"/>
                <w:szCs w:val="20"/>
              </w:rPr>
              <w:t>协助开展自然灾害等突发事件的灾前监测预警、灾中风险</w:t>
            </w:r>
            <w:r>
              <w:rPr>
                <w:rFonts w:hint="eastAsia" w:ascii="仿宋_GB2312" w:hAnsi="等线" w:eastAsia="仿宋_GB2312" w:cs="宋体"/>
                <w:kern w:val="0"/>
                <w:sz w:val="20"/>
                <w:szCs w:val="20"/>
              </w:rPr>
              <w:t>防控以及灾后调查评估;</w:t>
            </w:r>
          </w:p>
          <w:p>
            <w:pPr>
              <w:widowControl/>
              <w:spacing w:after="160" w:line="280" w:lineRule="exact"/>
              <w:rPr>
                <w:rFonts w:ascii="仿宋_GB2312" w:hAnsi="等线" w:eastAsia="仿宋_GB2312"/>
                <w:sz w:val="20"/>
                <w:szCs w:val="20"/>
                <w14:ligatures w14:val="standardContextual"/>
              </w:rPr>
            </w:pPr>
            <w:r>
              <w:rPr>
                <w:rFonts w:ascii="仿宋_GB2312" w:hAnsi="等线" w:eastAsia="仿宋_GB2312" w:cs="宋体"/>
                <w:kern w:val="0"/>
                <w:sz w:val="20"/>
                <w:szCs w:val="20"/>
              </w:rPr>
              <w:t>5.完成院领导交办的其他任务。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应急救援技术支撑和技术服务岗位</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2</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应急技术与管理、应急管理、应急装备技术与工程、智能防灾与应急管理、自然灾害与应急管理、安全与应急管理、化工过程安全与应急管理、公共安全与应急管理、抢险救援指挥与技术、应急救援技术等相关专业。</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本科/学士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p>
        </w:tc>
        <w:tc>
          <w:tcPr>
            <w:tcW w:w="3729" w:type="dxa"/>
            <w:shd w:val="clear" w:color="auto" w:fill="auto"/>
            <w:vAlign w:val="center"/>
          </w:tcPr>
          <w:p>
            <w:pPr>
              <w:widowControl/>
              <w:spacing w:after="160" w:line="280" w:lineRule="exact"/>
              <w:jc w:val="left"/>
              <w:rPr>
                <w:rFonts w:ascii="仿宋_GB2312" w:hAnsi="等线" w:eastAsia="仿宋_GB2312" w:cs="宋体"/>
                <w:kern w:val="0"/>
                <w:sz w:val="20"/>
                <w:szCs w:val="20"/>
              </w:rPr>
            </w:pPr>
            <w:r>
              <w:rPr>
                <w:rFonts w:ascii="仿宋_GB2312" w:hAnsi="等线" w:eastAsia="仿宋_GB2312" w:cs="宋体"/>
                <w:kern w:val="0"/>
                <w:sz w:val="20"/>
                <w:szCs w:val="20"/>
              </w:rPr>
              <w:t>1.具有较强的学习能力</w:t>
            </w:r>
            <w:r>
              <w:rPr>
                <w:rFonts w:hint="eastAsia" w:ascii="仿宋_GB2312" w:hAnsi="等线" w:eastAsia="仿宋_GB2312" w:cs="宋体"/>
                <w:kern w:val="0"/>
                <w:sz w:val="20"/>
                <w:szCs w:val="20"/>
              </w:rPr>
              <w:t>、支撑服务意识和吃苦耐劳精神</w:t>
            </w:r>
            <w:r>
              <w:rPr>
                <w:rFonts w:ascii="仿宋_GB2312" w:hAnsi="等线" w:eastAsia="仿宋_GB2312" w:cs="宋体"/>
                <w:kern w:val="0"/>
                <w:sz w:val="20"/>
                <w:szCs w:val="20"/>
              </w:rPr>
              <w:t>；</w:t>
            </w:r>
          </w:p>
          <w:p>
            <w:pPr>
              <w:widowControl/>
              <w:spacing w:after="160" w:line="280" w:lineRule="exact"/>
              <w:jc w:val="left"/>
              <w:rPr>
                <w:rFonts w:ascii="仿宋_GB2312" w:hAnsi="等线" w:eastAsia="仿宋_GB2312" w:cs="宋体"/>
                <w:kern w:val="0"/>
                <w:sz w:val="20"/>
                <w:szCs w:val="20"/>
              </w:rPr>
            </w:pPr>
            <w:r>
              <w:rPr>
                <w:rFonts w:ascii="仿宋_GB2312" w:hAnsi="等线" w:eastAsia="仿宋_GB2312" w:cs="宋体"/>
                <w:kern w:val="0"/>
                <w:sz w:val="20"/>
                <w:szCs w:val="20"/>
              </w:rPr>
              <w:t>2.具有较强的沟通协调能力、文字表达能力；</w:t>
            </w:r>
          </w:p>
          <w:p>
            <w:pPr>
              <w:widowControl/>
              <w:spacing w:after="160" w:line="280" w:lineRule="exact"/>
              <w:jc w:val="left"/>
              <w:rPr>
                <w:rFonts w:ascii="仿宋_GB2312" w:hAnsi="等线" w:eastAsia="仿宋_GB2312" w:cs="宋体"/>
                <w:kern w:val="0"/>
                <w:sz w:val="20"/>
                <w:szCs w:val="20"/>
              </w:rPr>
            </w:pPr>
            <w:r>
              <w:rPr>
                <w:rFonts w:ascii="仿宋_GB2312" w:hAnsi="等线" w:eastAsia="仿宋_GB2312" w:cs="宋体"/>
                <w:kern w:val="0"/>
                <w:sz w:val="20"/>
                <w:szCs w:val="20"/>
              </w:rPr>
              <w:t>3.具备一定突发事件处理能力；</w:t>
            </w:r>
          </w:p>
          <w:p>
            <w:pPr>
              <w:widowControl/>
              <w:spacing w:after="160" w:line="280" w:lineRule="exact"/>
              <w:jc w:val="left"/>
              <w:rPr>
                <w:rFonts w:ascii="仿宋_GB2312" w:hAnsi="等线" w:eastAsia="仿宋_GB2312" w:cs="宋体"/>
                <w:kern w:val="0"/>
                <w:sz w:val="20"/>
                <w:szCs w:val="20"/>
              </w:rPr>
            </w:pPr>
            <w:r>
              <w:rPr>
                <w:rFonts w:ascii="仿宋_GB2312" w:hAnsi="等线" w:eastAsia="仿宋_GB2312" w:cs="宋体"/>
                <w:kern w:val="0"/>
                <w:sz w:val="20"/>
                <w:szCs w:val="20"/>
              </w:rPr>
              <w:t>4.985、211、</w:t>
            </w:r>
            <w:r>
              <w:rPr>
                <w:rFonts w:hint="eastAsia" w:ascii="仿宋_GB2312" w:hAnsi="等线" w:eastAsia="仿宋_GB2312" w:cs="宋体"/>
                <w:kern w:val="0"/>
                <w:sz w:val="20"/>
                <w:szCs w:val="20"/>
              </w:rPr>
              <w:t>双一流建设高校（以教育部公布的“双一流”建设高校名单为准）</w:t>
            </w:r>
            <w:r>
              <w:rPr>
                <w:rFonts w:ascii="仿宋_GB2312" w:hAnsi="等线" w:eastAsia="仿宋_GB2312" w:cs="宋体"/>
                <w:kern w:val="0"/>
                <w:sz w:val="20"/>
                <w:szCs w:val="20"/>
              </w:rPr>
              <w:t>毕业的优先；</w:t>
            </w:r>
          </w:p>
          <w:p>
            <w:pPr>
              <w:widowControl/>
              <w:spacing w:after="160" w:line="280" w:lineRule="exact"/>
              <w:jc w:val="left"/>
              <w:rPr>
                <w:rFonts w:ascii="仿宋_GB2312" w:hAnsi="等线" w:eastAsia="仿宋_GB2312" w:cs="宋体"/>
                <w:kern w:val="0"/>
                <w:sz w:val="20"/>
                <w:szCs w:val="20"/>
              </w:rPr>
            </w:pPr>
            <w:r>
              <w:rPr>
                <w:rFonts w:ascii="仿宋_GB2312" w:hAnsi="等线" w:eastAsia="仿宋_GB2312" w:cs="宋体"/>
                <w:kern w:val="0"/>
                <w:sz w:val="20"/>
                <w:szCs w:val="20"/>
              </w:rPr>
              <w:t>5.</w:t>
            </w:r>
            <w:r>
              <w:rPr>
                <w:rFonts w:hint="eastAsia" w:ascii="仿宋_GB2312" w:hAnsi="等线" w:eastAsia="仿宋_GB2312" w:cs="宋体"/>
                <w:kern w:val="0"/>
                <w:sz w:val="20"/>
                <w:szCs w:val="20"/>
              </w:rPr>
              <w:t>具有自然灾害应急救援实战能力者优先；</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b/>
                <w:bCs/>
                <w:kern w:val="0"/>
                <w:sz w:val="20"/>
                <w:szCs w:val="20"/>
              </w:rPr>
              <w:t>6.具有5年及</w:t>
            </w:r>
            <w:r>
              <w:rPr>
                <w:rFonts w:ascii="仿宋_GB2312" w:hAnsi="等线" w:eastAsia="仿宋_GB2312" w:cs="宋体"/>
                <w:b/>
                <w:bCs/>
                <w:kern w:val="0"/>
                <w:sz w:val="20"/>
                <w:szCs w:val="20"/>
              </w:rPr>
              <w:t>以上</w:t>
            </w:r>
            <w:r>
              <w:rPr>
                <w:rFonts w:hint="eastAsia" w:ascii="仿宋_GB2312" w:hAnsi="等线" w:eastAsia="仿宋_GB2312" w:cs="宋体"/>
                <w:b/>
                <w:bCs/>
                <w:kern w:val="0"/>
                <w:sz w:val="20"/>
                <w:szCs w:val="20"/>
              </w:rPr>
              <w:t>应急抢险救援</w:t>
            </w:r>
            <w:r>
              <w:rPr>
                <w:rFonts w:ascii="仿宋_GB2312" w:hAnsi="等线" w:eastAsia="仿宋_GB2312" w:cs="宋体"/>
                <w:b/>
                <w:bCs/>
                <w:kern w:val="0"/>
                <w:sz w:val="20"/>
                <w:szCs w:val="20"/>
              </w:rPr>
              <w:t>等相关工作经历且正在从事该类工作</w:t>
            </w:r>
            <w:r>
              <w:rPr>
                <w:rFonts w:hint="eastAsia" w:ascii="仿宋_GB2312" w:hAnsi="等线" w:eastAsia="仿宋_GB2312" w:cs="宋体"/>
                <w:b/>
                <w:bCs/>
                <w:kern w:val="0"/>
                <w:sz w:val="20"/>
                <w:szCs w:val="20"/>
              </w:rPr>
              <w:t>的，学历条件可放宽至大专</w:t>
            </w:r>
            <w:r>
              <w:rPr>
                <w:rFonts w:ascii="仿宋_GB2312" w:hAnsi="等线" w:eastAsia="仿宋_GB2312" w:cs="宋体"/>
                <w:b/>
                <w:bCs/>
                <w:kern w:val="0"/>
                <w:sz w:val="20"/>
                <w:szCs w:val="20"/>
              </w:rPr>
              <w:t>。</w:t>
            </w:r>
          </w:p>
        </w:tc>
        <w:tc>
          <w:tcPr>
            <w:tcW w:w="4110" w:type="dxa"/>
            <w:shd w:val="clear" w:color="auto" w:fill="auto"/>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1.</w:t>
            </w:r>
            <w:r>
              <w:rPr>
                <w:rFonts w:ascii="仿宋_GB2312" w:hAnsi="等线" w:eastAsia="仿宋_GB2312" w:cs="宋体"/>
                <w:kern w:val="0"/>
                <w:sz w:val="20"/>
                <w:szCs w:val="20"/>
              </w:rPr>
              <w:t>开展应急救援方向科学理论、政策法规研究和自然灾害应</w:t>
            </w:r>
            <w:r>
              <w:rPr>
                <w:rFonts w:hint="eastAsia" w:ascii="仿宋_GB2312" w:hAnsi="等线" w:eastAsia="仿宋_GB2312" w:cs="宋体"/>
                <w:kern w:val="0"/>
                <w:sz w:val="20"/>
                <w:szCs w:val="20"/>
              </w:rPr>
              <w:t>急救援技术方法以及装备的研究推广;</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2.承担应急救援法规规章和重大政策、预案和规划实施等的</w:t>
            </w:r>
            <w:r>
              <w:rPr>
                <w:rFonts w:hint="eastAsia" w:ascii="仿宋_GB2312" w:hAnsi="等线" w:eastAsia="仿宋_GB2312" w:cs="宋体"/>
                <w:kern w:val="0"/>
                <w:sz w:val="20"/>
                <w:szCs w:val="20"/>
              </w:rPr>
              <w:t>技术支撑工作;</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3.承担预案修订</w:t>
            </w:r>
            <w:r>
              <w:rPr>
                <w:rFonts w:hint="eastAsia" w:ascii="仿宋_GB2312" w:hAnsi="等线" w:eastAsia="仿宋_GB2312" w:cs="宋体"/>
                <w:kern w:val="0"/>
                <w:sz w:val="20"/>
                <w:szCs w:val="20"/>
              </w:rPr>
              <w:t>、</w:t>
            </w:r>
            <w:r>
              <w:rPr>
                <w:rFonts w:ascii="仿宋_GB2312" w:hAnsi="等线" w:eastAsia="仿宋_GB2312" w:cs="宋体"/>
                <w:kern w:val="0"/>
                <w:sz w:val="20"/>
                <w:szCs w:val="20"/>
              </w:rPr>
              <w:t>编制、评估、备案以及调查研究、宣传培</w:t>
            </w:r>
            <w:r>
              <w:rPr>
                <w:rFonts w:hint="eastAsia" w:ascii="仿宋_GB2312" w:hAnsi="等线" w:eastAsia="仿宋_GB2312" w:cs="宋体"/>
                <w:kern w:val="0"/>
                <w:sz w:val="20"/>
                <w:szCs w:val="20"/>
              </w:rPr>
              <w:t>训方面的技术支撑工作;</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4.承担应急救援体系</w:t>
            </w:r>
            <w:r>
              <w:rPr>
                <w:rFonts w:hint="eastAsia" w:ascii="仿宋_GB2312" w:hAnsi="等线" w:eastAsia="仿宋_GB2312" w:cs="宋体"/>
                <w:kern w:val="0"/>
                <w:sz w:val="20"/>
                <w:szCs w:val="20"/>
              </w:rPr>
              <w:t>、</w:t>
            </w:r>
            <w:r>
              <w:rPr>
                <w:rFonts w:ascii="仿宋_GB2312" w:hAnsi="等线" w:eastAsia="仿宋_GB2312" w:cs="宋体"/>
                <w:kern w:val="0"/>
                <w:sz w:val="20"/>
                <w:szCs w:val="20"/>
              </w:rPr>
              <w:t>突发事件应对研究工作,开展应急救</w:t>
            </w:r>
            <w:r>
              <w:rPr>
                <w:rFonts w:hint="eastAsia" w:ascii="仿宋_GB2312" w:hAnsi="等线" w:eastAsia="仿宋_GB2312" w:cs="宋体"/>
                <w:kern w:val="0"/>
                <w:sz w:val="20"/>
                <w:szCs w:val="20"/>
              </w:rPr>
              <w:t>援实时监测预警研究;</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5.承担应急救援特殊装备储备的具体工作</w:t>
            </w:r>
            <w:r>
              <w:rPr>
                <w:rFonts w:hint="eastAsia" w:ascii="仿宋_GB2312" w:hAnsi="等线" w:eastAsia="仿宋_GB2312" w:cs="宋体"/>
                <w:kern w:val="0"/>
                <w:sz w:val="20"/>
                <w:szCs w:val="20"/>
              </w:rPr>
              <w:t>;</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6.承担全省应急救援力量的普查、规划建设、评估</w:t>
            </w:r>
            <w:r>
              <w:rPr>
                <w:rFonts w:hint="eastAsia" w:ascii="仿宋_GB2312" w:hAnsi="等线" w:eastAsia="仿宋_GB2312" w:cs="宋体"/>
                <w:kern w:val="0"/>
                <w:sz w:val="20"/>
                <w:szCs w:val="20"/>
              </w:rPr>
              <w:t>、</w:t>
            </w:r>
            <w:r>
              <w:rPr>
                <w:rFonts w:ascii="仿宋_GB2312" w:hAnsi="等线" w:eastAsia="仿宋_GB2312" w:cs="宋体"/>
                <w:kern w:val="0"/>
                <w:sz w:val="20"/>
                <w:szCs w:val="20"/>
              </w:rPr>
              <w:t>培训</w:t>
            </w:r>
            <w:r>
              <w:rPr>
                <w:rFonts w:hint="eastAsia" w:ascii="仿宋_GB2312" w:hAnsi="等线" w:eastAsia="仿宋_GB2312" w:cs="宋体"/>
                <w:kern w:val="0"/>
                <w:sz w:val="20"/>
                <w:szCs w:val="20"/>
              </w:rPr>
              <w:t>等的技术支撑工作;</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7.承担全省综合性应急演练</w:t>
            </w:r>
            <w:r>
              <w:rPr>
                <w:rFonts w:hint="eastAsia" w:ascii="仿宋_GB2312" w:hAnsi="等线" w:eastAsia="仿宋_GB2312" w:cs="宋体"/>
                <w:kern w:val="0"/>
                <w:sz w:val="20"/>
                <w:szCs w:val="20"/>
              </w:rPr>
              <w:t>、</w:t>
            </w:r>
            <w:r>
              <w:rPr>
                <w:rFonts w:ascii="仿宋_GB2312" w:hAnsi="等线" w:eastAsia="仿宋_GB2312" w:cs="宋体"/>
                <w:kern w:val="0"/>
                <w:sz w:val="20"/>
                <w:szCs w:val="20"/>
              </w:rPr>
              <w:t>应急救援技能竞赛相关技术支</w:t>
            </w:r>
            <w:r>
              <w:rPr>
                <w:rFonts w:hint="eastAsia" w:ascii="仿宋_GB2312" w:hAnsi="等线" w:eastAsia="仿宋_GB2312" w:cs="宋体"/>
                <w:kern w:val="0"/>
                <w:sz w:val="20"/>
                <w:szCs w:val="20"/>
              </w:rPr>
              <w:t>撑工作;</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8组织协调全院力量提供事故灾难、自然灾害等应急救援技</w:t>
            </w:r>
            <w:r>
              <w:rPr>
                <w:rFonts w:hint="eastAsia" w:ascii="仿宋_GB2312" w:hAnsi="等线" w:eastAsia="仿宋_GB2312" w:cs="宋体"/>
                <w:kern w:val="0"/>
                <w:sz w:val="20"/>
                <w:szCs w:val="20"/>
              </w:rPr>
              <w:t>术支撑;</w:t>
            </w:r>
          </w:p>
          <w:p>
            <w:pPr>
              <w:widowControl/>
              <w:spacing w:after="160" w:line="280" w:lineRule="exact"/>
              <w:rPr>
                <w:rFonts w:ascii="仿宋_GB2312" w:hAnsi="等线" w:eastAsia="仿宋_GB2312"/>
                <w:sz w:val="20"/>
                <w:szCs w:val="20"/>
                <w14:ligatures w14:val="standardContextual"/>
              </w:rPr>
            </w:pPr>
            <w:r>
              <w:rPr>
                <w:rFonts w:hint="eastAsia" w:ascii="仿宋_GB2312" w:hAnsi="等线" w:eastAsia="仿宋_GB2312" w:cs="宋体"/>
                <w:kern w:val="0"/>
                <w:sz w:val="20"/>
                <w:szCs w:val="20"/>
              </w:rPr>
              <w:t>9.</w:t>
            </w:r>
            <w:r>
              <w:rPr>
                <w:rFonts w:ascii="仿宋_GB2312" w:hAnsi="等线" w:eastAsia="仿宋_GB2312" w:cs="宋体"/>
                <w:kern w:val="0"/>
                <w:sz w:val="20"/>
                <w:szCs w:val="20"/>
              </w:rPr>
              <w:t>完成院领导交办的其他任务。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restart"/>
            <w:shd w:val="clear" w:color="auto" w:fill="auto"/>
            <w:vAlign w:val="center"/>
          </w:tcPr>
          <w:p>
            <w:pPr>
              <w:widowControl/>
              <w:spacing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综合所</w:t>
            </w:r>
          </w:p>
          <w:p>
            <w:pPr>
              <w:widowControl/>
              <w:spacing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（4人）</w:t>
            </w: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安全技术研究及服务</w:t>
            </w:r>
          </w:p>
        </w:tc>
        <w:tc>
          <w:tcPr>
            <w:tcW w:w="618" w:type="dxa"/>
            <w:shd w:val="clear" w:color="auto" w:fill="auto"/>
            <w:vAlign w:val="center"/>
          </w:tcPr>
          <w:p>
            <w:pPr>
              <w:widowControl/>
              <w:spacing w:after="160" w:line="280" w:lineRule="exact"/>
              <w:jc w:val="center"/>
              <w:rPr>
                <w:rFonts w:ascii="等线" w:hAnsi="等线" w:eastAsia="等线" w:cs="宋体"/>
                <w:kern w:val="0"/>
                <w:sz w:val="20"/>
                <w:szCs w:val="20"/>
              </w:rPr>
            </w:pPr>
            <w:r>
              <w:rPr>
                <w:rFonts w:hint="eastAsia" w:ascii="等线" w:hAnsi="等线" w:eastAsia="等线" w:cs="宋体"/>
                <w:kern w:val="0"/>
                <w:sz w:val="20"/>
                <w:szCs w:val="20"/>
              </w:rPr>
              <w:t>2</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安全科学与工程类、机械制造及其自动化、工业设计工程、钢铁冶金、采矿工程类</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中级</w:t>
            </w:r>
          </w:p>
        </w:tc>
        <w:tc>
          <w:tcPr>
            <w:tcW w:w="3729" w:type="dxa"/>
            <w:shd w:val="clear" w:color="auto" w:fill="auto"/>
            <w:vAlign w:val="center"/>
          </w:tcPr>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1.具有安全生产技术研究相关学习或工作经历；</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2.具有3年以上企业或技术服务机构等相关工作经历（应届毕业生此项条件以及专业技术资格不作要求）；</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3.具有较强的科研、业务和解决问题的能力，有较强独立思考能力和申报相关课题能力；</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4.博士研究生优先；</w:t>
            </w:r>
          </w:p>
          <w:p>
            <w:pPr>
              <w:widowControl/>
              <w:spacing w:after="160"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5.具有工业防火防爆类相关研究或实践经验优先。</w:t>
            </w:r>
          </w:p>
        </w:tc>
        <w:tc>
          <w:tcPr>
            <w:tcW w:w="4110" w:type="dxa"/>
            <w:shd w:val="clear" w:color="auto" w:fill="auto"/>
            <w:vAlign w:val="center"/>
          </w:tcPr>
          <w:p>
            <w:pPr>
              <w:widowControl/>
              <w:spacing w:after="160" w:line="280" w:lineRule="exact"/>
              <w:rPr>
                <w:rFonts w:ascii="仿宋_GB2312" w:hAnsi="等线" w:eastAsia="仿宋_GB2312" w:cs="宋体"/>
                <w:kern w:val="0"/>
                <w:sz w:val="20"/>
                <w:szCs w:val="20"/>
                <w14:ligatures w14:val="standardContextual"/>
              </w:rPr>
            </w:pPr>
            <w:r>
              <w:rPr>
                <w:rFonts w:hint="eastAsia" w:ascii="仿宋_GB2312" w:hAnsi="等线" w:eastAsia="仿宋_GB2312" w:cs="宋体"/>
                <w:kern w:val="0"/>
                <w:sz w:val="20"/>
                <w:szCs w:val="20"/>
                <w14:ligatures w14:val="standardContextual"/>
              </w:rPr>
              <w:t>1.从事包括粉爆在内的实验室测试、科研项目申报工作以及相关技术服务；</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2.</w:t>
            </w:r>
            <w:r>
              <w:rPr>
                <w:rFonts w:hint="eastAsia" w:ascii="仿宋_GB2312" w:hAnsi="等线" w:eastAsia="仿宋_GB2312" w:cs="宋体"/>
                <w:kern w:val="0"/>
                <w:sz w:val="20"/>
                <w:szCs w:val="20"/>
                <w14:ligatures w14:val="standardContextual"/>
              </w:rPr>
              <w:t>从事工贸行业相关专业方向的技术咨询服务，通过对问题的分析总结和提炼形成技术性报告和其他规范文件。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事故技术调查分析与预警技术研究</w:t>
            </w:r>
          </w:p>
        </w:tc>
        <w:tc>
          <w:tcPr>
            <w:tcW w:w="618" w:type="dxa"/>
            <w:shd w:val="clear" w:color="auto" w:fill="auto"/>
            <w:vAlign w:val="center"/>
          </w:tcPr>
          <w:p>
            <w:pPr>
              <w:widowControl/>
              <w:spacing w:after="160" w:line="280" w:lineRule="exact"/>
              <w:jc w:val="center"/>
              <w:rPr>
                <w:rFonts w:ascii="等线" w:hAnsi="等线" w:eastAsia="等线" w:cs="宋体"/>
                <w:kern w:val="0"/>
                <w:sz w:val="20"/>
                <w:szCs w:val="20"/>
              </w:rPr>
            </w:pPr>
            <w:r>
              <w:rPr>
                <w:rFonts w:hint="eastAsia" w:ascii="等线" w:hAnsi="等线" w:eastAsia="等线"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司法警察学、司法鉴定学、火灾勘查、材料类、力学类、机械类、土木类</w:t>
            </w:r>
          </w:p>
          <w:p>
            <w:pPr>
              <w:widowControl/>
              <w:spacing w:after="160" w:line="280" w:lineRule="exact"/>
              <w:rPr>
                <w:rFonts w:ascii="仿宋_GB2312" w:hAnsi="等线" w:eastAsia="仿宋_GB2312" w:cs="宋体"/>
                <w:kern w:val="0"/>
                <w:sz w:val="20"/>
                <w:szCs w:val="20"/>
              </w:rPr>
            </w:pP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中级</w:t>
            </w:r>
          </w:p>
        </w:tc>
        <w:tc>
          <w:tcPr>
            <w:tcW w:w="3729"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1.具有事故技术调查分析相关学习或工作经历；</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2.具有2年以上痕迹检测或火灾现场勘查或事故演化机理分析等相关工作经历（应届毕业生此项条件以及专业技术资格不作要求）；</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3.具有金相结构分析、扫描电镜能谱分析、电气火灾痕迹物证分析等能力之一；</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4.具备较强的逻辑思维、分析能力、沟通能力、研究探索精神及团队合作意识；</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5.博士研究生优先。</w:t>
            </w:r>
          </w:p>
        </w:tc>
        <w:tc>
          <w:tcPr>
            <w:tcW w:w="4110"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14:ligatures w14:val="standardContextual"/>
              </w:rPr>
              <w:t>从事相关事故调查整体协调以及某方向的具体技术工作。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城市、区域及重点行业综合安全风险评估与技术研究</w:t>
            </w:r>
          </w:p>
        </w:tc>
        <w:tc>
          <w:tcPr>
            <w:tcW w:w="618" w:type="dxa"/>
            <w:shd w:val="clear" w:color="auto" w:fill="auto"/>
            <w:vAlign w:val="center"/>
          </w:tcPr>
          <w:p>
            <w:pPr>
              <w:widowControl/>
              <w:spacing w:after="160" w:line="280" w:lineRule="exact"/>
              <w:jc w:val="center"/>
              <w:rPr>
                <w:rFonts w:ascii="等线" w:hAnsi="等线" w:eastAsia="等线" w:cs="宋体"/>
                <w:kern w:val="0"/>
                <w:sz w:val="20"/>
                <w:szCs w:val="20"/>
              </w:rPr>
            </w:pPr>
            <w:r>
              <w:rPr>
                <w:rFonts w:hint="eastAsia" w:ascii="等线" w:hAnsi="等线" w:eastAsia="等线"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能源动力类、市政工程、供热、供燃气、通风及空调工程 、工程力学、交通运输工程类</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1.具有城市或区域安全风险研究，或工业园区安全风险研究，或城市轨道交通、建筑结构、综合管廊、城镇燃气等城市基础设施行业安全规划、风险评估、监测预警等研究学习或工作经历。</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2.具有较强的科研、业务和解决问题的能力，有较强独立思考能力和申报相关课题能力；</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3.博士研究生优先。</w:t>
            </w:r>
          </w:p>
        </w:tc>
        <w:tc>
          <w:tcPr>
            <w:tcW w:w="4110"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从事城市或区域安全风险评估和研究以及科研项目申报。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restart"/>
            <w:shd w:val="clear" w:color="auto" w:fill="auto"/>
            <w:vAlign w:val="center"/>
          </w:tcPr>
          <w:p>
            <w:pPr>
              <w:widowControl/>
              <w:spacing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危化所</w:t>
            </w:r>
            <w:r>
              <w:rPr>
                <w:rFonts w:hint="eastAsia" w:ascii="仿宋_GB2312" w:hAnsi="等线" w:eastAsia="仿宋_GB2312" w:cs="宋体"/>
                <w:kern w:val="0"/>
                <w:sz w:val="20"/>
                <w:szCs w:val="20"/>
              </w:rPr>
              <w:br w:type="page"/>
            </w:r>
            <w:r>
              <w:rPr>
                <w:rFonts w:hint="eastAsia" w:ascii="仿宋_GB2312" w:hAnsi="等线" w:eastAsia="仿宋_GB2312" w:cs="宋体"/>
                <w:kern w:val="0"/>
                <w:sz w:val="20"/>
                <w:szCs w:val="20"/>
              </w:rPr>
              <w:t>（7人）</w:t>
            </w: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化学品安全研究</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本科：</w:t>
            </w:r>
            <w:r>
              <w:rPr>
                <w:rFonts w:hint="eastAsia" w:ascii="仿宋_GB2312" w:hAnsi="等线" w:eastAsia="仿宋_GB2312" w:cs="宋体"/>
                <w:kern w:val="0"/>
                <w:sz w:val="20"/>
                <w:szCs w:val="20"/>
              </w:rPr>
              <w:t>化学类（化学、应用化学、能源化学、化学测量学与技术）、材料类（材料化学）、化工与制药类（化学工程与工艺、制药工程、能源化学工程、化学工程与工业生物工程、化工安全工程、精细化工）、环境科学与工程类（环境科学与工程、环境工程、环境科学、环境生态工程、资源环境科学、水质科学与技术）；</w:t>
            </w:r>
            <w:r>
              <w:rPr>
                <w:rFonts w:hint="eastAsia" w:ascii="仿宋_GB2312" w:hAnsi="等线" w:eastAsia="仿宋_GB2312" w:cs="宋体"/>
                <w:kern w:val="0"/>
                <w:sz w:val="20"/>
                <w:szCs w:val="20"/>
              </w:rPr>
              <w:br w:type="page"/>
            </w:r>
            <w:r>
              <w:rPr>
                <w:rFonts w:hint="eastAsia" w:ascii="仿宋_GB2312" w:hAnsi="等线" w:eastAsia="仿宋_GB2312" w:cs="宋体"/>
                <w:b/>
                <w:bCs/>
                <w:kern w:val="0"/>
                <w:sz w:val="20"/>
                <w:szCs w:val="20"/>
              </w:rPr>
              <w:t>研究生：</w:t>
            </w:r>
            <w:r>
              <w:rPr>
                <w:rFonts w:hint="eastAsia" w:ascii="仿宋_GB2312" w:hAnsi="等线" w:eastAsia="仿宋_GB2312" w:cs="宋体"/>
                <w:kern w:val="0"/>
                <w:sz w:val="20"/>
                <w:szCs w:val="20"/>
              </w:rPr>
              <w:t>化学（分析化学、有机化学、物理化学/化学物理、高分子化学与物理）、材料与化工（化学工程）、化学工程与技术（化学工程、化学工艺、生物化工、应用化学、工业催化）、资源与环境（环境工程、安全工程）、环境科学与工程（环境科学、环境工程）。</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after="160" w:line="280" w:lineRule="exact"/>
              <w:rPr>
                <w:rFonts w:ascii="仿宋_GB2312" w:hAnsi="等线" w:eastAsia="仿宋_GB2312" w:cs="宋体"/>
                <w:kern w:val="0"/>
                <w:sz w:val="20"/>
                <w:szCs w:val="20"/>
                <w14:ligatures w14:val="standardContextual"/>
              </w:rPr>
            </w:pPr>
            <w:r>
              <w:rPr>
                <w:rFonts w:hint="eastAsia" w:ascii="仿宋_GB2312" w:hAnsi="等线" w:eastAsia="仿宋_GB2312" w:cs="宋体"/>
                <w:kern w:val="0"/>
                <w:sz w:val="20"/>
                <w:szCs w:val="20"/>
                <w:lang w:bidi="ar"/>
                <w14:ligatures w14:val="standardContextual"/>
              </w:rPr>
              <w:t>1.熟悉危化品安全技术说明书编制、物理危险性鉴定等相关工作;</w:t>
            </w:r>
          </w:p>
          <w:p>
            <w:pPr>
              <w:widowControl/>
              <w:spacing w:after="160" w:line="280" w:lineRule="exact"/>
              <w:rPr>
                <w:rFonts w:ascii="仿宋_GB2312" w:hAnsi="等线" w:eastAsia="仿宋_GB2312" w:cs="宋体"/>
                <w:kern w:val="0"/>
                <w:sz w:val="20"/>
                <w:szCs w:val="20"/>
                <w14:ligatures w14:val="standardContextual"/>
              </w:rPr>
            </w:pPr>
            <w:r>
              <w:rPr>
                <w:rFonts w:hint="eastAsia" w:ascii="仿宋_GB2312" w:hAnsi="等线" w:eastAsia="仿宋_GB2312" w:cs="宋体"/>
                <w:kern w:val="0"/>
                <w:sz w:val="20"/>
                <w:szCs w:val="20"/>
                <w:lang w:bidi="ar"/>
                <w14:ligatures w14:val="standardContextual"/>
              </w:rPr>
              <w:t>2.具有分析化学方面的相关知识，能够分析NMR、 HPLC、 LCMS谱图;</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3.</w:t>
            </w:r>
            <w:r>
              <w:rPr>
                <w:rFonts w:hint="eastAsia" w:ascii="仿宋_GB2312" w:hAnsi="等线" w:eastAsia="仿宋_GB2312" w:cs="宋体"/>
                <w:kern w:val="0"/>
                <w:sz w:val="20"/>
                <w:szCs w:val="20"/>
              </w:rPr>
              <w:t>985、211双一流建设高校（以教育部公布的“双一流”建设高校名单为准）毕业的，同时具有5年以上危险化学品登记、危险化学品鉴定分类等相关工作经历且目前从事该类工作者学历学位可放宽至本科、学士；</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4.博士研究生优先。</w:t>
            </w:r>
          </w:p>
        </w:tc>
        <w:tc>
          <w:tcPr>
            <w:tcW w:w="4110" w:type="dxa"/>
            <w:shd w:val="clear" w:color="auto" w:fill="auto"/>
            <w:vAlign w:val="center"/>
          </w:tcPr>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1.“浙江省危险化学品登记中心办公室”日常工作；</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2.危险化学品、烟花爆竹行业安全生产事故的检测、鉴定等工作；</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3.化学品物理危险性鉴定分类项目的检测、分析、鉴定等工作；</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4.危险化学品、烟花爆竹行业生产安全事故研究与统计分析的基础性工作；</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sz w:val="20"/>
                <w:szCs w:val="20"/>
                <w14:ligatures w14:val="standardContextual"/>
              </w:rPr>
              <w:t>5.院领导交办的危险化学品安全相关的其他任务。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1" w:hRule="atLeast"/>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工艺安全研究</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2</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本科：</w:t>
            </w:r>
            <w:r>
              <w:rPr>
                <w:rFonts w:hint="eastAsia" w:ascii="仿宋_GB2312" w:hAnsi="等线" w:eastAsia="仿宋_GB2312" w:cs="宋体"/>
                <w:kern w:val="0"/>
                <w:sz w:val="20"/>
                <w:szCs w:val="20"/>
              </w:rPr>
              <w:t>化学类（化学、应用化学、能源化学、化学测量学与技术）、材料类（材料化学）、化工与制药类（化学工程与工艺、制药工程、能源化学工程、化学工程与工业生物工程、化工安全工程、精细化工）；</w:t>
            </w:r>
            <w:r>
              <w:rPr>
                <w:rFonts w:hint="eastAsia" w:ascii="仿宋_GB2312" w:hAnsi="等线" w:eastAsia="仿宋_GB2312" w:cs="宋体"/>
                <w:b/>
                <w:bCs/>
                <w:kern w:val="0"/>
                <w:sz w:val="20"/>
                <w:szCs w:val="20"/>
              </w:rPr>
              <w:t>研究生：</w:t>
            </w:r>
            <w:r>
              <w:rPr>
                <w:rFonts w:hint="eastAsia" w:ascii="仿宋_GB2312" w:hAnsi="等线" w:eastAsia="仿宋_GB2312" w:cs="宋体"/>
                <w:kern w:val="0"/>
                <w:sz w:val="20"/>
                <w:szCs w:val="20"/>
              </w:rPr>
              <w:t>化学（分析化学、有机化学、物理化学/化学物理、高分子化学与物理）、材料与化工（化学工程）、化学工程与技术（化学工程、化学工艺、生物化工、应用化学、工业催化）。</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after="160" w:line="280" w:lineRule="exact"/>
              <w:rPr>
                <w:rFonts w:ascii="仿宋_GB2312" w:hAnsi="等线" w:eastAsia="仿宋_GB2312" w:cs="宋体"/>
                <w:kern w:val="0"/>
                <w:sz w:val="20"/>
                <w:szCs w:val="20"/>
                <w14:ligatures w14:val="standardContextual"/>
              </w:rPr>
            </w:pPr>
            <w:r>
              <w:rPr>
                <w:rFonts w:hint="eastAsia" w:ascii="仿宋_GB2312" w:hAnsi="等线" w:eastAsia="仿宋_GB2312" w:cs="宋体"/>
                <w:kern w:val="0"/>
                <w:sz w:val="20"/>
                <w:szCs w:val="20"/>
                <w:lang w:bidi="ar"/>
                <w14:ligatures w14:val="standardContextual"/>
              </w:rPr>
              <w:t>1.熟悉医药、染料、材料等精细化工工艺有机合成、工艺开发、优化、工艺安全风险评估等相关工作;</w:t>
            </w:r>
          </w:p>
          <w:p>
            <w:pPr>
              <w:widowControl/>
              <w:spacing w:after="160" w:line="280" w:lineRule="exact"/>
              <w:rPr>
                <w:rFonts w:ascii="仿宋_GB2312" w:hAnsi="等线" w:eastAsia="仿宋_GB2312" w:cs="宋体"/>
                <w:kern w:val="0"/>
                <w:sz w:val="20"/>
                <w:szCs w:val="20"/>
                <w14:ligatures w14:val="standardContextual"/>
              </w:rPr>
            </w:pPr>
            <w:r>
              <w:rPr>
                <w:rFonts w:hint="eastAsia" w:ascii="仿宋_GB2312" w:hAnsi="等线" w:eastAsia="仿宋_GB2312" w:cs="宋体"/>
                <w:kern w:val="0"/>
                <w:sz w:val="20"/>
                <w:szCs w:val="20"/>
                <w:lang w:bidi="ar"/>
                <w14:ligatures w14:val="standardContextual"/>
              </w:rPr>
              <w:t>2.具有分析化学方面的相关知识，能够分析NMR、 HPLC、 LCMS谱图;</w:t>
            </w:r>
          </w:p>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3.</w:t>
            </w:r>
            <w:r>
              <w:rPr>
                <w:rFonts w:hint="eastAsia" w:ascii="仿宋_GB2312" w:hAnsi="等线" w:eastAsia="仿宋_GB2312" w:cs="宋体"/>
                <w:kern w:val="0"/>
                <w:sz w:val="20"/>
                <w:szCs w:val="20"/>
              </w:rPr>
              <w:t>985、211、双一流建设高校（以教育部公布的“双一流”建设高校名单为准）毕业的，同时具有5年以上反应安全风险评估、有机合成等相关工作经历且目前从事该类工作者学历学位可放宽至本科、学士；</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4.博士研究生优先。</w:t>
            </w:r>
          </w:p>
        </w:tc>
        <w:tc>
          <w:tcPr>
            <w:tcW w:w="4110" w:type="dxa"/>
            <w:shd w:val="clear" w:color="auto" w:fill="auto"/>
          </w:tcPr>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1.化工工艺本质安全研究；</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2.化工工艺热风险评估项目的检测、分析等工作；</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3.危险化学品、烟花爆竹行业安全生产事故成因分析的技术研究；</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sz w:val="20"/>
                <w:szCs w:val="20"/>
                <w14:ligatures w14:val="standardContextual"/>
              </w:rPr>
              <w:t>4.院领导交办的化工工艺安全相关的其他任务。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安全管理研究</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本科：</w:t>
            </w:r>
            <w:r>
              <w:rPr>
                <w:rFonts w:hint="eastAsia" w:ascii="仿宋_GB2312" w:hAnsi="等线" w:eastAsia="仿宋_GB2312" w:cs="宋体"/>
                <w:kern w:val="0"/>
                <w:sz w:val="20"/>
                <w:szCs w:val="20"/>
              </w:rPr>
              <w:t>化学类（化学、应用化学、能源化学、化学测量学与技术）、材料类（材料化学）、化工与制药类（化学工程与工艺、制药工程、能源化学工程、化学工程与工业生物工程、化工安全工程、精细化工）、环境科学与工程类（环境科学与工程、环境工程、环境科学、环境生态工程、资源环境科学）、安全科学与工程类（安全工程、应急技术与管理、职业卫生工程）；</w:t>
            </w:r>
            <w:r>
              <w:rPr>
                <w:rFonts w:hint="eastAsia" w:ascii="仿宋_GB2312" w:hAnsi="等线" w:eastAsia="仿宋_GB2312" w:cs="宋体"/>
                <w:b/>
                <w:bCs/>
                <w:kern w:val="0"/>
                <w:sz w:val="20"/>
                <w:szCs w:val="20"/>
              </w:rPr>
              <w:t>研究生：</w:t>
            </w:r>
            <w:r>
              <w:rPr>
                <w:rFonts w:hint="eastAsia" w:ascii="仿宋_GB2312" w:hAnsi="等线" w:eastAsia="仿宋_GB2312" w:cs="宋体"/>
                <w:kern w:val="0"/>
                <w:sz w:val="20"/>
                <w:szCs w:val="20"/>
              </w:rPr>
              <w:t>化学（分析化学、有机化学、物理化学/化学物理、高分子化学与物理）、材料与化工（化学工程）、化学工程与技术（化学工程、化学工艺、生物化工、应用化学、工业催化）、资源与环境（环境工程、安全工程）、环境科学与工程（环境科学、环境工程）、安全科学与工程。</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1.具有5年以上化工项目安全评价、化工企业安全技术服务、化工企业安全管理体系咨询等相关工作经历且正在从事该类工作者优先；</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2.博士研究生优先。</w:t>
            </w:r>
          </w:p>
        </w:tc>
        <w:tc>
          <w:tcPr>
            <w:tcW w:w="4110" w:type="dxa"/>
            <w:shd w:val="clear" w:color="auto" w:fill="auto"/>
          </w:tcPr>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1.危险化学品、烟花爆竹行业科学理论、政策法规、安全管理模式研究；</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2.危险化学品、烟花爆竹企业二级标准化现场评审和“回头看”等监督抽查工作；</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3.危险化学品企业先进安全管理体系的引进及推广应用；</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4.化工园区及危险化学品、烟花爆竹企业的综合隐患排查工作；</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5.危险化学品、烟花爆竹行业政策法规和标准规范、应急预案的研究、编制、修订、实施、评估、备案以及宣传培训等方面的技术支撑工作；</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6.危险化学品、烟花爆竹行业发展规划的研究、编制、修订以及宣传培训等方面的技术支撑工作；</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sz w:val="20"/>
                <w:szCs w:val="20"/>
                <w14:ligatures w14:val="standardContextual"/>
              </w:rPr>
              <w:t>7.院领导交办的化工园区及危险化学品、烟花爆竹安全管理相关的其他任务。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定量风险研究</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本科：</w:t>
            </w:r>
            <w:r>
              <w:rPr>
                <w:rFonts w:hint="eastAsia" w:ascii="仿宋_GB2312" w:hAnsi="等线" w:eastAsia="仿宋_GB2312" w:cs="宋体"/>
                <w:kern w:val="0"/>
                <w:sz w:val="20"/>
                <w:szCs w:val="20"/>
              </w:rPr>
              <w:t>化学类（化学、应用化学、能源化学）、材料类（材料化学）、化工与制药类（化学工程与工艺、制药工程、能源化学工程、化学工程与工业生物工程、化工安全工程、精细化工）、环境科学与工程类（环境科学与工程、环境工程、环境科学、环境生态工程、资源环境科学）、安全科学与工程类（安全工程、应急技术与管理、职业卫生工程）；</w:t>
            </w:r>
            <w:r>
              <w:rPr>
                <w:rFonts w:hint="eastAsia" w:ascii="仿宋_GB2312" w:hAnsi="等线" w:eastAsia="仿宋_GB2312" w:cs="宋体"/>
                <w:b/>
                <w:bCs/>
                <w:kern w:val="0"/>
                <w:sz w:val="20"/>
                <w:szCs w:val="20"/>
              </w:rPr>
              <w:t>研究生：</w:t>
            </w:r>
            <w:r>
              <w:rPr>
                <w:rFonts w:hint="eastAsia" w:ascii="仿宋_GB2312" w:hAnsi="等线" w:eastAsia="仿宋_GB2312" w:cs="宋体"/>
                <w:kern w:val="0"/>
                <w:sz w:val="20"/>
                <w:szCs w:val="20"/>
              </w:rPr>
              <w:t>化学（分析化学、有机化学、物理化学/化学物理、高分子化学与物理）、材料与化工（化学工程）、化学工程与技术（化学工程、化学工艺、生物化工、应用化学、工业催化）、资源与环境（环境工程、安全工程）、环境科学与工程（环境科学、环境工程）、安全科学与工程。</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1.985、211、双一流建设高校（以教育部公布的“双一流”建设高校名单为准）毕业的，同时具有5年以上化工项目安全评价、定量风险评估等相关工作经历且目前从事该类工作者学历学位可放宽至本科、学士；</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2.博士研究生优先。</w:t>
            </w:r>
          </w:p>
        </w:tc>
        <w:tc>
          <w:tcPr>
            <w:tcW w:w="4110" w:type="dxa"/>
            <w:shd w:val="clear" w:color="auto" w:fill="auto"/>
            <w:vAlign w:val="center"/>
          </w:tcPr>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1.危险化学品、烟花爆竹行业风险管控、事故预防等研究；</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2.化工园区整体安全风险评估及危险化学品企业定量风险评估；</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3.危险化学品事故后果计算分析；</w:t>
            </w:r>
          </w:p>
          <w:p>
            <w:pPr>
              <w:adjustRightInd w:val="0"/>
              <w:snapToGrid w:val="0"/>
              <w:spacing w:after="160" w:line="278" w:lineRule="auto"/>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4.危险化学品、烟花爆竹行业安全生产事故调查的技术分析以及事故应急救援的技术支撑工作；</w:t>
            </w:r>
          </w:p>
          <w:p>
            <w:pPr>
              <w:widowControl/>
              <w:spacing w:after="160" w:line="280" w:lineRule="exact"/>
              <w:rPr>
                <w:rFonts w:ascii="仿宋_GB2312" w:hAnsi="等线" w:eastAsia="仿宋_GB2312"/>
                <w:sz w:val="20"/>
                <w:szCs w:val="20"/>
                <w14:ligatures w14:val="standardContextual"/>
              </w:rPr>
            </w:pPr>
            <w:r>
              <w:rPr>
                <w:rFonts w:hint="eastAsia" w:ascii="仿宋_GB2312" w:hAnsi="等线" w:eastAsia="仿宋_GB2312"/>
                <w:sz w:val="20"/>
                <w:szCs w:val="20"/>
                <w14:ligatures w14:val="standardContextual"/>
              </w:rPr>
              <w:t>5.院领导交办危险化学品、烟花爆竹行业安全风险管控相关的其他任务。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restart"/>
            <w:shd w:val="clear" w:color="auto" w:fill="auto"/>
            <w:vAlign w:val="center"/>
          </w:tcPr>
          <w:p>
            <w:pPr>
              <w:widowControl/>
              <w:spacing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数智所</w:t>
            </w:r>
            <w:r>
              <w:rPr>
                <w:rFonts w:hint="eastAsia" w:ascii="仿宋_GB2312" w:hAnsi="等线" w:eastAsia="仿宋_GB2312" w:cs="宋体"/>
                <w:kern w:val="0"/>
                <w:sz w:val="20"/>
                <w:szCs w:val="20"/>
              </w:rPr>
              <w:br w:type="page"/>
            </w:r>
            <w:r>
              <w:rPr>
                <w:rFonts w:hint="eastAsia" w:ascii="仿宋_GB2312" w:hAnsi="等线" w:eastAsia="仿宋_GB2312" w:cs="宋体"/>
                <w:kern w:val="0"/>
                <w:sz w:val="20"/>
                <w:szCs w:val="20"/>
              </w:rPr>
              <w:t>（5人）</w:t>
            </w: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业务专家岗位/产品经理、项目经理</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40</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安全科学与工程、化学工程与技术化工安全工程等相关专业</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研究生</w:t>
            </w:r>
            <w:r>
              <w:rPr>
                <w:rFonts w:ascii="仿宋_GB2312" w:hAnsi="等线" w:eastAsia="仿宋_GB2312" w:cs="宋体"/>
                <w:kern w:val="0"/>
                <w:sz w:val="20"/>
                <w:szCs w:val="20"/>
              </w:rPr>
              <w:t>/硕士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p>
        </w:tc>
        <w:tc>
          <w:tcPr>
            <w:tcW w:w="3729" w:type="dxa"/>
            <w:shd w:val="clear" w:color="auto" w:fill="auto"/>
            <w:vAlign w:val="center"/>
          </w:tcPr>
          <w:p>
            <w:pPr>
              <w:widowControl/>
              <w:spacing w:line="280" w:lineRule="exact"/>
              <w:rPr>
                <w:rFonts w:ascii="仿宋_GB2312" w:hAnsi="等线" w:eastAsia="仿宋_GB2312" w:cs="宋体"/>
                <w:kern w:val="0"/>
                <w:sz w:val="20"/>
                <w:szCs w:val="20"/>
              </w:rPr>
            </w:pPr>
            <w:r>
              <w:rPr>
                <w:rFonts w:ascii="仿宋_GB2312" w:hAnsi="等线" w:eastAsia="仿宋_GB2312" w:cs="宋体"/>
                <w:kern w:val="0"/>
                <w:sz w:val="20"/>
                <w:szCs w:val="20"/>
              </w:rPr>
              <w:t>1.具有5年以上需求和产品梳理的组织管理经验；</w:t>
            </w:r>
          </w:p>
          <w:p>
            <w:pPr>
              <w:widowControl/>
              <w:spacing w:line="280" w:lineRule="exact"/>
              <w:rPr>
                <w:rFonts w:ascii="仿宋_GB2312" w:hAnsi="等线" w:eastAsia="仿宋_GB2312" w:cs="宋体"/>
                <w:kern w:val="0"/>
                <w:sz w:val="20"/>
                <w:szCs w:val="20"/>
              </w:rPr>
            </w:pPr>
            <w:r>
              <w:rPr>
                <w:rFonts w:ascii="仿宋_GB2312" w:hAnsi="等线" w:eastAsia="仿宋_GB2312" w:cs="宋体"/>
                <w:kern w:val="0"/>
                <w:sz w:val="20"/>
                <w:szCs w:val="20"/>
              </w:rPr>
              <w:t>2.熟悉产品管理的各个方面，包括用户需求调研，业务需求分析，产品流程设计、研发全流程；</w:t>
            </w:r>
          </w:p>
          <w:p>
            <w:pPr>
              <w:widowControl/>
              <w:spacing w:line="280" w:lineRule="exact"/>
              <w:rPr>
                <w:rFonts w:ascii="仿宋_GB2312" w:hAnsi="等线" w:eastAsia="仿宋_GB2312" w:cs="宋体"/>
                <w:kern w:val="0"/>
                <w:sz w:val="20"/>
                <w:szCs w:val="20"/>
              </w:rPr>
            </w:pPr>
            <w:r>
              <w:rPr>
                <w:rFonts w:ascii="仿宋_GB2312" w:hAnsi="等线" w:eastAsia="仿宋_GB2312" w:cs="宋体"/>
                <w:kern w:val="0"/>
                <w:sz w:val="20"/>
                <w:szCs w:val="20"/>
              </w:rPr>
              <w:t>3.能熟练使用产品设计相关工具，对技术实现的可行性以及技术成本有良好的评估能力；</w:t>
            </w:r>
          </w:p>
          <w:p>
            <w:pPr>
              <w:widowControl/>
              <w:spacing w:line="280" w:lineRule="exact"/>
              <w:rPr>
                <w:rFonts w:ascii="仿宋_GB2312" w:hAnsi="等线" w:eastAsia="仿宋_GB2312" w:cs="宋体"/>
                <w:kern w:val="0"/>
                <w:sz w:val="20"/>
                <w:szCs w:val="20"/>
              </w:rPr>
            </w:pPr>
            <w:r>
              <w:rPr>
                <w:rFonts w:ascii="仿宋_GB2312" w:hAnsi="等线" w:eastAsia="仿宋_GB2312" w:cs="宋体"/>
                <w:kern w:val="0"/>
                <w:sz w:val="20"/>
                <w:szCs w:val="20"/>
              </w:rPr>
              <w:t>4.具备出色的沟通和团队合作能力；</w:t>
            </w:r>
          </w:p>
          <w:p>
            <w:pPr>
              <w:widowControl/>
              <w:spacing w:line="280" w:lineRule="exact"/>
              <w:rPr>
                <w:rFonts w:ascii="仿宋_GB2312" w:hAnsi="等线" w:eastAsia="仿宋_GB2312" w:cs="宋体"/>
                <w:kern w:val="0"/>
                <w:sz w:val="20"/>
                <w:szCs w:val="20"/>
              </w:rPr>
            </w:pPr>
            <w:r>
              <w:rPr>
                <w:rFonts w:ascii="仿宋_GB2312" w:hAnsi="等线" w:eastAsia="仿宋_GB2312" w:cs="宋体"/>
                <w:kern w:val="0"/>
                <w:sz w:val="20"/>
                <w:szCs w:val="20"/>
              </w:rPr>
              <w:t>5.具有商业分析能力和产品规划能力；</w:t>
            </w:r>
          </w:p>
          <w:p>
            <w:pPr>
              <w:widowControl/>
              <w:spacing w:line="280" w:lineRule="exact"/>
              <w:rPr>
                <w:rFonts w:ascii="仿宋_GB2312" w:hAnsi="等线" w:eastAsia="仿宋_GB2312" w:cs="宋体"/>
                <w:kern w:val="0"/>
                <w:sz w:val="20"/>
                <w:szCs w:val="20"/>
              </w:rPr>
            </w:pPr>
            <w:r>
              <w:rPr>
                <w:rFonts w:ascii="仿宋_GB2312" w:hAnsi="等线" w:eastAsia="仿宋_GB2312" w:cs="宋体"/>
                <w:kern w:val="0"/>
                <w:sz w:val="20"/>
                <w:szCs w:val="20"/>
              </w:rPr>
              <w:t>6.具有安全生产、应急管理领域相关数字化项目开发经验者优先</w:t>
            </w:r>
            <w:r>
              <w:rPr>
                <w:rFonts w:hint="eastAsia" w:ascii="仿宋_GB2312" w:hAnsi="等线" w:eastAsia="仿宋_GB2312" w:cs="宋体"/>
                <w:kern w:val="0"/>
                <w:sz w:val="20"/>
                <w:szCs w:val="20"/>
              </w:rPr>
              <w:t>;</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7.博士研究生优先；</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8</w:t>
            </w:r>
            <w:r>
              <w:rPr>
                <w:rFonts w:ascii="仿宋_GB2312" w:hAnsi="等线" w:eastAsia="仿宋_GB2312" w:cs="宋体"/>
                <w:kern w:val="0"/>
                <w:sz w:val="20"/>
                <w:szCs w:val="20"/>
              </w:rPr>
              <w:t>.985、211、</w:t>
            </w:r>
            <w:r>
              <w:rPr>
                <w:rFonts w:hint="eastAsia" w:ascii="仿宋_GB2312" w:hAnsi="等线" w:eastAsia="仿宋_GB2312" w:cs="宋体"/>
                <w:kern w:val="0"/>
                <w:sz w:val="20"/>
                <w:szCs w:val="20"/>
              </w:rPr>
              <w:t>双一流建设高校（以教育部公布的“双一流”建设高校名单为准）</w:t>
            </w:r>
            <w:r>
              <w:rPr>
                <w:rFonts w:ascii="仿宋_GB2312" w:hAnsi="等线" w:eastAsia="仿宋_GB2312" w:cs="宋体"/>
                <w:kern w:val="0"/>
                <w:sz w:val="20"/>
                <w:szCs w:val="20"/>
              </w:rPr>
              <w:t>毕业的，学历学位可放宽至本科、学士。</w:t>
            </w:r>
          </w:p>
        </w:tc>
        <w:tc>
          <w:tcPr>
            <w:tcW w:w="4110" w:type="dxa"/>
            <w:shd w:val="clear" w:color="auto" w:fill="auto"/>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sz w:val="20"/>
                <w:szCs w:val="20"/>
                <w14:ligatures w14:val="standardContextual"/>
              </w:rPr>
              <w:t>负责应急管理数字化领域政策规划研究和编制；业务需求对接梳理、技术服务项目参与实施，开展相应的数字化应用产品功能设计、流程梳理、解决方案编制，科研方向凝练、课题申报和实施。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专业技术岗位-软件架构师</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40</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计算机科学与技术、软件工程等相关专业</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ascii="仿宋_GB2312" w:hAnsi="等线" w:eastAsia="仿宋_GB2312" w:cs="宋体"/>
                <w:kern w:val="0"/>
                <w:sz w:val="20"/>
                <w:szCs w:val="20"/>
              </w:rPr>
              <w:t>研究生</w:t>
            </w:r>
            <w:r>
              <w:rPr>
                <w:rFonts w:hint="eastAsia" w:ascii="仿宋_GB2312" w:hAnsi="等线" w:eastAsia="仿宋_GB2312" w:cs="宋体"/>
                <w:kern w:val="0"/>
                <w:sz w:val="20"/>
                <w:szCs w:val="20"/>
              </w:rPr>
              <w:t>/</w:t>
            </w:r>
            <w:r>
              <w:rPr>
                <w:rFonts w:ascii="仿宋_GB2312" w:hAnsi="等线" w:eastAsia="仿宋_GB2312" w:cs="宋体"/>
                <w:kern w:val="0"/>
                <w:sz w:val="20"/>
                <w:szCs w:val="20"/>
              </w:rPr>
              <w:t>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1.具有5年系统架构师工作经验；</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2.熟悉常见的架构设计方法和模式；</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3.精通常见的数据库技术；</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4.熟悉云计算和大数据技术；</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5.具备出色的沟通和团队合作能力，能够与不同团队成员协作，有效传达技术需求和解决方案；</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6.具有安全生产、应急管理领域相关数字化项目开发经验者优先；</w:t>
            </w:r>
          </w:p>
          <w:p>
            <w:pPr>
              <w:widowControl/>
              <w:spacing w:line="280" w:lineRule="exact"/>
              <w:rPr>
                <w:rFonts w:ascii="仿宋_GB2312" w:hAnsi="等线" w:eastAsia="仿宋_GB2312" w:cs="宋体"/>
                <w:b/>
                <w:bCs/>
                <w:kern w:val="0"/>
                <w:sz w:val="20"/>
                <w:szCs w:val="20"/>
              </w:rPr>
            </w:pPr>
            <w:r>
              <w:rPr>
                <w:rFonts w:hint="eastAsia" w:ascii="仿宋_GB2312" w:hAnsi="等线" w:eastAsia="仿宋_GB2312" w:cs="宋体"/>
                <w:kern w:val="0"/>
                <w:sz w:val="20"/>
                <w:szCs w:val="20"/>
              </w:rPr>
              <w:t>7.博士研究生优先；</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8</w:t>
            </w:r>
            <w:r>
              <w:rPr>
                <w:rFonts w:ascii="仿宋_GB2312" w:hAnsi="等线" w:eastAsia="仿宋_GB2312" w:cs="宋体"/>
                <w:kern w:val="0"/>
                <w:sz w:val="20"/>
                <w:szCs w:val="20"/>
              </w:rPr>
              <w:t>.</w:t>
            </w:r>
            <w:r>
              <w:rPr>
                <w:rFonts w:hint="eastAsia" w:ascii="仿宋_GB2312" w:hAnsi="等线" w:eastAsia="仿宋_GB2312" w:cs="宋体"/>
                <w:kern w:val="0"/>
                <w:sz w:val="20"/>
                <w:szCs w:val="20"/>
              </w:rPr>
              <w:t>985、211、双一流建设高校（以教育部公布的“双一流”建设高校名单为准）毕业的，学历学位可放宽至本科、学士。</w:t>
            </w:r>
          </w:p>
        </w:tc>
        <w:tc>
          <w:tcPr>
            <w:tcW w:w="4110" w:type="dxa"/>
            <w:shd w:val="clear" w:color="auto" w:fill="auto"/>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sz w:val="20"/>
                <w:szCs w:val="20"/>
                <w14:ligatures w14:val="standardContextual"/>
              </w:rPr>
              <w:t>负责数字化应用开发技术选型、架构搭建、性能优化、规范制定；指导软件工程师的产品开发和技术研究，承担关键模块的设计开发；协助项目经理梳理技术开发需求，制定项目计划，管控项目进度；参与技术团队规划、管理以及质量过程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专业技术岗位-前端开发、后端开发</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2</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计算机科学与技术、软件工程等相关专业</w:t>
            </w: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ascii="仿宋_GB2312" w:hAnsi="等线" w:eastAsia="仿宋_GB2312" w:cs="宋体"/>
                <w:kern w:val="0"/>
                <w:sz w:val="20"/>
                <w:szCs w:val="20"/>
              </w:rPr>
              <w:t>研究生</w:t>
            </w:r>
            <w:r>
              <w:rPr>
                <w:rFonts w:hint="eastAsia" w:ascii="仿宋_GB2312" w:hAnsi="等线" w:eastAsia="仿宋_GB2312" w:cs="宋体"/>
                <w:kern w:val="0"/>
                <w:sz w:val="20"/>
                <w:szCs w:val="20"/>
              </w:rPr>
              <w:t>/</w:t>
            </w:r>
            <w:r>
              <w:rPr>
                <w:rFonts w:ascii="仿宋_GB2312" w:hAnsi="等线" w:eastAsia="仿宋_GB2312" w:cs="宋体"/>
                <w:kern w:val="0"/>
                <w:sz w:val="20"/>
                <w:szCs w:val="20"/>
              </w:rPr>
              <w:t>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1.具有</w:t>
            </w:r>
            <w:r>
              <w:rPr>
                <w:rFonts w:ascii="仿宋_GB2312" w:hAnsi="等线" w:eastAsia="仿宋_GB2312" w:cs="宋体"/>
                <w:kern w:val="0"/>
                <w:sz w:val="20"/>
                <w:szCs w:val="20"/>
              </w:rPr>
              <w:t>5</w:t>
            </w:r>
            <w:r>
              <w:rPr>
                <w:rFonts w:hint="eastAsia" w:ascii="仿宋_GB2312" w:hAnsi="等线" w:eastAsia="仿宋_GB2312" w:cs="宋体"/>
                <w:kern w:val="0"/>
                <w:sz w:val="20"/>
                <w:szCs w:val="20"/>
              </w:rPr>
              <w:t>年</w:t>
            </w:r>
            <w:r>
              <w:rPr>
                <w:rFonts w:ascii="仿宋_GB2312" w:hAnsi="等线" w:eastAsia="仿宋_GB2312" w:cs="宋体"/>
                <w:kern w:val="0"/>
                <w:sz w:val="20"/>
                <w:szCs w:val="20"/>
              </w:rPr>
              <w:t>以上</w:t>
            </w:r>
            <w:r>
              <w:rPr>
                <w:rFonts w:hint="eastAsia" w:ascii="仿宋_GB2312" w:hAnsi="等线" w:eastAsia="仿宋_GB2312" w:cs="宋体"/>
                <w:kern w:val="0"/>
                <w:sz w:val="20"/>
                <w:szCs w:val="20"/>
              </w:rPr>
              <w:t>IT应用软件、互联网软件、IOS/安卓等软件产品开发经验；</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2.熟悉掌握但不限于JAVA/C++/C/Python/JS/HTML/GO等编程语言中的一种或数种；</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3.熟悉JS/AS/AJAX/HTML5/CSS等前端开发技术；</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4.具备独立工作能力和解决问题的能力，善于沟通，乐于合作；</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5.具有安全生产、应急管理领域相关数字化项目经验者优先；</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6.博士研究生优先；</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7</w:t>
            </w:r>
            <w:r>
              <w:rPr>
                <w:rFonts w:ascii="仿宋_GB2312" w:hAnsi="等线" w:eastAsia="仿宋_GB2312" w:cs="宋体"/>
                <w:kern w:val="0"/>
                <w:sz w:val="20"/>
                <w:szCs w:val="20"/>
              </w:rPr>
              <w:t>.</w:t>
            </w:r>
            <w:r>
              <w:rPr>
                <w:rFonts w:hint="eastAsia" w:ascii="仿宋_GB2312" w:hAnsi="等线" w:eastAsia="仿宋_GB2312" w:cs="宋体"/>
                <w:kern w:val="0"/>
                <w:sz w:val="20"/>
                <w:szCs w:val="20"/>
              </w:rPr>
              <w:t>985、211、双一流建设高校（以教育部公布的“双一流”建设高校名单为准）毕业的，学历学位可放宽至本科、学士。</w:t>
            </w:r>
          </w:p>
        </w:tc>
        <w:tc>
          <w:tcPr>
            <w:tcW w:w="4110" w:type="dxa"/>
            <w:shd w:val="clear" w:color="auto" w:fill="auto"/>
          </w:tcPr>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参与产品需求调研与分析，理解产品设计思路、业务需求和数据逻辑；承担软件设计、代码编写、系统测试、迭代升级、设计文档编制等具体开发任务；参与新技术的研究引进、技术方案的评估选型，提供合理的技术建议；与项目组其他成员协同配合，高效完成开发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Merge w:val="continue"/>
            <w:shd w:val="clear" w:color="auto" w:fill="auto"/>
            <w:vAlign w:val="center"/>
          </w:tcPr>
          <w:p>
            <w:pPr>
              <w:widowControl/>
              <w:spacing w:line="280" w:lineRule="exact"/>
              <w:jc w:val="center"/>
              <w:rPr>
                <w:rFonts w:ascii="仿宋_GB2312" w:hAnsi="等线" w:eastAsia="仿宋_GB2312" w:cs="宋体"/>
                <w:kern w:val="0"/>
                <w:sz w:val="20"/>
                <w:szCs w:val="20"/>
              </w:rPr>
            </w:pPr>
          </w:p>
        </w:tc>
        <w:tc>
          <w:tcPr>
            <w:tcW w:w="933" w:type="dxa"/>
            <w:shd w:val="clear" w:color="auto" w:fill="auto"/>
            <w:vAlign w:val="center"/>
          </w:tcPr>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专业技术岗位-美工、UI设计</w:t>
            </w:r>
          </w:p>
        </w:tc>
        <w:tc>
          <w:tcPr>
            <w:tcW w:w="618"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1</w:t>
            </w:r>
          </w:p>
        </w:tc>
        <w:tc>
          <w:tcPr>
            <w:tcW w:w="622"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ascii="仿宋_GB2312" w:hAnsi="等线" w:eastAsia="仿宋_GB2312" w:cs="宋体"/>
                <w:kern w:val="0"/>
                <w:sz w:val="20"/>
                <w:szCs w:val="20"/>
              </w:rPr>
              <w:t>不限</w:t>
            </w:r>
          </w:p>
        </w:tc>
        <w:tc>
          <w:tcPr>
            <w:tcW w:w="64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35</w:t>
            </w:r>
          </w:p>
        </w:tc>
        <w:tc>
          <w:tcPr>
            <w:tcW w:w="2514" w:type="dxa"/>
            <w:shd w:val="clear" w:color="auto" w:fill="auto"/>
            <w:vAlign w:val="center"/>
          </w:tcPr>
          <w:p>
            <w:pPr>
              <w:widowControl/>
              <w:tabs>
                <w:tab w:val="left" w:pos="312"/>
              </w:tabs>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设计（视觉传达设计、数字媒体艺术、新媒体艺术等）、计算机科学与技术等相关专业</w:t>
            </w:r>
          </w:p>
          <w:p>
            <w:pPr>
              <w:widowControl/>
              <w:spacing w:after="160" w:line="280" w:lineRule="exact"/>
              <w:rPr>
                <w:rFonts w:ascii="仿宋_GB2312" w:hAnsi="等线" w:eastAsia="仿宋_GB2312" w:cs="宋体"/>
                <w:kern w:val="0"/>
                <w:sz w:val="20"/>
                <w:szCs w:val="20"/>
              </w:rPr>
            </w:pPr>
          </w:p>
        </w:tc>
        <w:tc>
          <w:tcPr>
            <w:tcW w:w="974"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ascii="仿宋_GB2312" w:hAnsi="等线" w:eastAsia="仿宋_GB2312" w:cs="宋体"/>
                <w:kern w:val="0"/>
                <w:sz w:val="20"/>
                <w:szCs w:val="20"/>
              </w:rPr>
              <w:t>研究生</w:t>
            </w:r>
            <w:r>
              <w:rPr>
                <w:rFonts w:hint="eastAsia" w:ascii="仿宋_GB2312" w:hAnsi="等线" w:eastAsia="仿宋_GB2312" w:cs="宋体"/>
                <w:kern w:val="0"/>
                <w:sz w:val="20"/>
                <w:szCs w:val="20"/>
              </w:rPr>
              <w:t>/</w:t>
            </w:r>
            <w:r>
              <w:rPr>
                <w:rFonts w:ascii="仿宋_GB2312" w:hAnsi="等线" w:eastAsia="仿宋_GB2312" w:cs="宋体"/>
                <w:kern w:val="0"/>
                <w:sz w:val="20"/>
                <w:szCs w:val="20"/>
              </w:rPr>
              <w:t>硕士</w:t>
            </w:r>
          </w:p>
        </w:tc>
        <w:tc>
          <w:tcPr>
            <w:tcW w:w="826" w:type="dxa"/>
            <w:shd w:val="clear" w:color="auto" w:fill="auto"/>
            <w:vAlign w:val="center"/>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c>
          <w:tcPr>
            <w:tcW w:w="3729" w:type="dxa"/>
            <w:shd w:val="clear" w:color="auto" w:fill="auto"/>
            <w:vAlign w:val="center"/>
          </w:tcPr>
          <w:p>
            <w:pPr>
              <w:widowControl/>
              <w:spacing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1.具有</w:t>
            </w:r>
            <w:r>
              <w:rPr>
                <w:rFonts w:ascii="仿宋_GB2312" w:hAnsi="等线" w:eastAsia="仿宋_GB2312" w:cs="宋体"/>
                <w:kern w:val="0"/>
                <w:sz w:val="20"/>
                <w:szCs w:val="20"/>
              </w:rPr>
              <w:t>5</w:t>
            </w:r>
            <w:r>
              <w:rPr>
                <w:rFonts w:hint="eastAsia" w:ascii="仿宋_GB2312" w:hAnsi="等线" w:eastAsia="仿宋_GB2312" w:cs="宋体"/>
                <w:kern w:val="0"/>
                <w:sz w:val="20"/>
                <w:szCs w:val="20"/>
              </w:rPr>
              <w:t>年</w:t>
            </w:r>
            <w:r>
              <w:rPr>
                <w:rFonts w:ascii="仿宋_GB2312" w:hAnsi="等线" w:eastAsia="仿宋_GB2312" w:cs="宋体"/>
                <w:kern w:val="0"/>
                <w:sz w:val="20"/>
                <w:szCs w:val="20"/>
              </w:rPr>
              <w:t>以上</w:t>
            </w:r>
            <w:r>
              <w:rPr>
                <w:rFonts w:hint="eastAsia" w:ascii="仿宋_GB2312" w:hAnsi="等线" w:eastAsia="仿宋_GB2312" w:cs="宋体"/>
                <w:kern w:val="0"/>
                <w:sz w:val="20"/>
                <w:szCs w:val="20"/>
              </w:rPr>
              <w:t>平面设计、美工类工作经验；</w:t>
            </w:r>
          </w:p>
          <w:p>
            <w:pPr>
              <w:widowControl/>
              <w:spacing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2.熟练掌握Photoshop、Illustrator、Sketch等设计工具，以及常用的原型设计软件（如Axure、OmniGraffe）；</w:t>
            </w:r>
          </w:p>
          <w:p>
            <w:pPr>
              <w:widowControl/>
              <w:spacing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3.有扎实的美术功底、良好的创意思维和理解能力，能够准确把握研发团队需求；</w:t>
            </w:r>
          </w:p>
          <w:p>
            <w:pPr>
              <w:widowControl/>
              <w:spacing w:line="280" w:lineRule="exact"/>
              <w:jc w:val="left"/>
              <w:rPr>
                <w:rFonts w:ascii="仿宋_GB2312" w:hAnsi="等线" w:eastAsia="仿宋_GB2312" w:cs="宋体"/>
                <w:kern w:val="0"/>
                <w:sz w:val="20"/>
                <w:szCs w:val="20"/>
              </w:rPr>
            </w:pPr>
            <w:r>
              <w:rPr>
                <w:rFonts w:hint="eastAsia" w:ascii="仿宋_GB2312" w:hAnsi="等线" w:eastAsia="仿宋_GB2312" w:cs="宋体"/>
                <w:kern w:val="0"/>
                <w:sz w:val="20"/>
                <w:szCs w:val="20"/>
              </w:rPr>
              <w:t>4.具有良好的沟通协调能力和团队合作精神；</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5.具有安全生产、应急管理领域相关数字化项目经验者优先；</w:t>
            </w:r>
          </w:p>
          <w:p>
            <w:pPr>
              <w:widowControl/>
              <w:spacing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6.博士研究生优先；</w:t>
            </w:r>
          </w:p>
          <w:p>
            <w:pPr>
              <w:widowControl/>
              <w:spacing w:after="160" w:line="280" w:lineRule="exact"/>
              <w:rPr>
                <w:rFonts w:ascii="仿宋_GB2312" w:hAnsi="等线" w:eastAsia="仿宋_GB2312" w:cs="宋体"/>
                <w:kern w:val="0"/>
                <w:sz w:val="20"/>
                <w:szCs w:val="20"/>
              </w:rPr>
            </w:pPr>
            <w:r>
              <w:rPr>
                <w:rFonts w:hint="eastAsia" w:ascii="仿宋_GB2312" w:hAnsi="等线" w:eastAsia="仿宋_GB2312" w:cs="宋体"/>
                <w:kern w:val="0"/>
                <w:sz w:val="20"/>
                <w:szCs w:val="20"/>
              </w:rPr>
              <w:t>7</w:t>
            </w:r>
            <w:r>
              <w:rPr>
                <w:rFonts w:ascii="仿宋_GB2312" w:hAnsi="等线" w:eastAsia="仿宋_GB2312" w:cs="宋体"/>
                <w:kern w:val="0"/>
                <w:sz w:val="20"/>
                <w:szCs w:val="20"/>
              </w:rPr>
              <w:t>.</w:t>
            </w:r>
            <w:r>
              <w:rPr>
                <w:rFonts w:hint="eastAsia" w:ascii="仿宋_GB2312" w:hAnsi="等线" w:eastAsia="仿宋_GB2312" w:cs="宋体"/>
                <w:kern w:val="0"/>
                <w:sz w:val="20"/>
                <w:szCs w:val="20"/>
              </w:rPr>
              <w:t>985、211、双一流建设高校（以教育部公布的“双一流”建设高校名单为准）毕业的，学历学位可放宽至本科、学士。</w:t>
            </w:r>
          </w:p>
        </w:tc>
        <w:tc>
          <w:tcPr>
            <w:tcW w:w="4110" w:type="dxa"/>
            <w:shd w:val="clear" w:color="auto" w:fill="auto"/>
          </w:tcPr>
          <w:p>
            <w:pPr>
              <w:widowControl/>
              <w:spacing w:after="160" w:line="280" w:lineRule="exact"/>
              <w:rPr>
                <w:rFonts w:ascii="仿宋_GB2312" w:hAnsi="等线" w:eastAsia="仿宋_GB2312" w:cs="宋体"/>
                <w:kern w:val="0"/>
                <w:sz w:val="20"/>
                <w:szCs w:val="20"/>
              </w:rPr>
            </w:pPr>
            <w:r>
              <w:rPr>
                <w:rFonts w:ascii="仿宋_GB2312" w:hAnsi="等线" w:eastAsia="仿宋_GB2312" w:cs="宋体"/>
                <w:kern w:val="0"/>
                <w:sz w:val="20"/>
                <w:szCs w:val="20"/>
              </w:rPr>
              <w:t>参与产品需求调研与分析，理解产品设计思路、业务需求；负责界面架构、用户交互、操作流程等产品原型设计；负责产品UI 整体美术设计;负责产品宣传手册、PPT、公众号信息等文案的编写、设计与美化；与项目组其他成员协同配合，高效完成开发任务。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34" w:type="dxa"/>
            <w:gridSpan w:val="2"/>
            <w:shd w:val="clear" w:color="auto" w:fill="auto"/>
            <w:vAlign w:val="center"/>
          </w:tcPr>
          <w:p>
            <w:pPr>
              <w:widowControl/>
              <w:spacing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合计</w:t>
            </w:r>
          </w:p>
        </w:tc>
        <w:tc>
          <w:tcPr>
            <w:tcW w:w="618" w:type="dxa"/>
            <w:shd w:val="clear" w:color="auto" w:fill="auto"/>
            <w:vAlign w:val="center"/>
          </w:tcPr>
          <w:p>
            <w:pPr>
              <w:widowControl/>
              <w:spacing w:line="280" w:lineRule="exact"/>
              <w:jc w:val="center"/>
              <w:rPr>
                <w:rFonts w:ascii="仿宋_GB2312" w:hAnsi="等线" w:eastAsia="仿宋_GB2312" w:cs="宋体"/>
                <w:b/>
                <w:bCs/>
                <w:kern w:val="0"/>
                <w:sz w:val="20"/>
                <w:szCs w:val="20"/>
              </w:rPr>
            </w:pPr>
            <w:r>
              <w:rPr>
                <w:rFonts w:hint="eastAsia" w:ascii="仿宋_GB2312" w:hAnsi="等线" w:eastAsia="仿宋_GB2312" w:cs="宋体"/>
                <w:b/>
                <w:bCs/>
                <w:kern w:val="0"/>
                <w:sz w:val="20"/>
                <w:szCs w:val="20"/>
              </w:rPr>
              <w:t>24</w:t>
            </w:r>
          </w:p>
        </w:tc>
        <w:tc>
          <w:tcPr>
            <w:tcW w:w="13419" w:type="dxa"/>
            <w:gridSpan w:val="7"/>
            <w:shd w:val="clear" w:color="auto" w:fill="auto"/>
          </w:tcPr>
          <w:p>
            <w:pPr>
              <w:widowControl/>
              <w:spacing w:after="160" w:line="280" w:lineRule="exact"/>
              <w:jc w:val="center"/>
              <w:rPr>
                <w:rFonts w:ascii="仿宋_GB2312" w:hAnsi="等线" w:eastAsia="仿宋_GB2312" w:cs="宋体"/>
                <w:kern w:val="0"/>
                <w:sz w:val="20"/>
                <w:szCs w:val="20"/>
              </w:rPr>
            </w:pPr>
            <w:r>
              <w:rPr>
                <w:rFonts w:hint="eastAsia" w:ascii="仿宋_GB2312" w:hAnsi="等线" w:eastAsia="仿宋_GB2312" w:cs="宋体"/>
                <w:kern w:val="0"/>
                <w:sz w:val="20"/>
                <w:szCs w:val="20"/>
              </w:rPr>
              <w:t>　</w:t>
            </w:r>
          </w:p>
        </w:tc>
      </w:tr>
    </w:tbl>
    <w:p>
      <w:pPr>
        <w:widowControl/>
        <w:jc w:val="left"/>
        <w:rPr>
          <w:rFonts w:ascii="仿宋_GB2312" w:hAnsi="等线" w:eastAsia="仿宋_GB2312" w:cs="宋体"/>
          <w:color w:val="000000"/>
          <w:kern w:val="0"/>
          <w:sz w:val="20"/>
          <w:szCs w:val="20"/>
        </w:rPr>
      </w:pPr>
      <w:r>
        <w:rPr>
          <w:rFonts w:hint="eastAsia" w:ascii="仿宋_GB2312" w:hAnsi="等线" w:eastAsia="仿宋_GB2312" w:cs="宋体"/>
          <w:color w:val="000000"/>
          <w:kern w:val="0"/>
          <w:sz w:val="20"/>
          <w:szCs w:val="20"/>
        </w:rPr>
        <w:t>备注：</w:t>
      </w:r>
    </w:p>
    <w:p>
      <w:pPr>
        <w:widowControl/>
        <w:jc w:val="left"/>
        <w:rPr>
          <w:rFonts w:ascii="仿宋_GB2312" w:hAnsi="等线" w:eastAsia="仿宋_GB2312" w:cs="宋体"/>
          <w:color w:val="000000"/>
          <w:kern w:val="0"/>
          <w:sz w:val="20"/>
          <w:szCs w:val="20"/>
        </w:rPr>
      </w:pPr>
      <w:r>
        <w:rPr>
          <w:rFonts w:hint="eastAsia" w:ascii="仿宋_GB2312" w:hAnsi="等线" w:eastAsia="仿宋_GB2312" w:cs="宋体"/>
          <w:color w:val="000000"/>
          <w:kern w:val="0"/>
          <w:sz w:val="20"/>
          <w:szCs w:val="20"/>
        </w:rPr>
        <w:t>1.有关年龄计算办法从简。例如，上限为35周岁的，凡1989年1月1日及以后出生的人员，均视为符合条件；</w:t>
      </w:r>
    </w:p>
    <w:p>
      <w:pPr>
        <w:widowControl/>
        <w:jc w:val="left"/>
        <w:rPr>
          <w:rFonts w:ascii="仿宋_GB2312" w:hAnsi="等线" w:eastAsia="仿宋_GB2312" w:cs="宋体"/>
          <w:color w:val="000000"/>
          <w:kern w:val="0"/>
          <w:sz w:val="20"/>
          <w:szCs w:val="20"/>
        </w:rPr>
      </w:pPr>
      <w:r>
        <w:rPr>
          <w:rFonts w:hint="eastAsia" w:ascii="仿宋_GB2312" w:hAnsi="等线" w:eastAsia="仿宋_GB2312" w:cs="宋体"/>
          <w:color w:val="000000"/>
          <w:kern w:val="0"/>
          <w:sz w:val="20"/>
          <w:szCs w:val="20"/>
        </w:rPr>
        <w:t>2.不低于明确的“学历/学位”（该处所用符号“/”指要求同时具备的条件，如“研究生/硕士”表示要求同时具备硕士研究生学历并取得相应的硕士学位）；</w:t>
      </w:r>
    </w:p>
    <w:p>
      <w:pPr>
        <w:widowControl/>
        <w:jc w:val="left"/>
        <w:rPr>
          <w:rFonts w:ascii="仿宋_GB2312" w:hAnsi="等线" w:eastAsia="仿宋_GB2312" w:cs="宋体"/>
          <w:color w:val="000000"/>
          <w:kern w:val="0"/>
          <w:sz w:val="20"/>
          <w:szCs w:val="20"/>
        </w:rPr>
      </w:pPr>
      <w:r>
        <w:rPr>
          <w:rFonts w:hint="eastAsia" w:ascii="仿宋_GB2312" w:hAnsi="等线" w:eastAsia="仿宋_GB2312" w:cs="宋体"/>
          <w:color w:val="000000"/>
          <w:kern w:val="0"/>
          <w:sz w:val="20"/>
          <w:szCs w:val="20"/>
        </w:rPr>
        <w:t>3.应聘者是否符合招聘岗位学习或工作经历要求，一般根据应聘者学历证书、职称或职业资格证书、实际从事的工作岗位以及代表性科研论文等进行综合认定；</w:t>
      </w:r>
    </w:p>
    <w:p>
      <w:pPr>
        <w:widowControl/>
        <w:jc w:val="left"/>
        <w:rPr>
          <w:rFonts w:ascii="仿宋_GB2312" w:hAnsi="等线" w:eastAsia="仿宋_GB2312" w:cs="宋体"/>
          <w:color w:val="000000"/>
          <w:kern w:val="0"/>
          <w:sz w:val="20"/>
          <w:szCs w:val="20"/>
        </w:rPr>
      </w:pPr>
      <w:r>
        <w:rPr>
          <w:rFonts w:hint="eastAsia" w:ascii="仿宋_GB2312" w:hAnsi="等线" w:eastAsia="仿宋_GB2312" w:cs="宋体"/>
          <w:color w:val="000000"/>
          <w:kern w:val="0"/>
          <w:sz w:val="20"/>
          <w:szCs w:val="20"/>
        </w:rPr>
        <w:t>4.具有博士学位的研究生或副高级专业技术资格人员，年龄可放宽至45周岁（1979年1月1日及以后出生）；</w:t>
      </w:r>
    </w:p>
    <w:p>
      <w:pPr>
        <w:widowControl/>
        <w:jc w:val="left"/>
        <w:rPr>
          <w:rFonts w:eastAsia="仿宋_GB2312"/>
          <w:sz w:val="28"/>
          <w:szCs w:val="28"/>
        </w:rPr>
      </w:pPr>
      <w:r>
        <w:rPr>
          <w:rFonts w:hint="eastAsia" w:ascii="仿宋_GB2312" w:hAnsi="等线" w:eastAsia="仿宋_GB2312" w:cs="宋体"/>
          <w:color w:val="000000"/>
          <w:kern w:val="0"/>
          <w:sz w:val="20"/>
          <w:szCs w:val="20"/>
        </w:rPr>
        <w:t>5.对应届毕业生和留学归国人员取得学历、学位证书以及入职的时限要求为2025年9月底前，其余人员入职时限要求为2024年12月底前。</w:t>
      </w:r>
    </w:p>
    <w:sectPr>
      <w:footerReference r:id="rId3" w:type="default"/>
      <w:footerReference r:id="rId4" w:type="even"/>
      <w:pgSz w:w="16838" w:h="11906" w:orient="landscape"/>
      <w:pgMar w:top="1588" w:right="2098" w:bottom="1134" w:left="1985" w:header="851" w:footer="927" w:gutter="0"/>
      <w:pgNumType w:fmt="numberInDash"/>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ascii="Times New Roman" w:hAnsi="Times New Roman" w:cs="Times New Roman"/>
      </w:rP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bidi/>
                            <w:ind w:firstLine="560" w:firstLineChars="20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p>
                    <w:pPr>
                      <w:pStyle w:val="11"/>
                      <w:bidi/>
                      <w:ind w:firstLine="560" w:firstLineChars="20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s>
      <w:jc w:val="cente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ind w:firstLine="560" w:firstLineChars="20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&#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UEyylQ4CAAAHBAAADgAAAAAAAAABACAAAAAf&#10;AQAAZHJzL2Uyb0RvYy54bWxQSwUGAAAAAAYABgBZAQAAnwUAAAAA&#10;">
              <v:fill on="f" focussize="0,0"/>
              <v:stroke on="f" weight="0.5pt"/>
              <v:imagedata o:title=""/>
              <o:lock v:ext="edit" aspectratio="f"/>
              <v:textbox inset="0mm,0mm,0mm,0mm" style="mso-fit-shape-to-text:t;">
                <w:txbxContent>
                  <w:p>
                    <w:pPr>
                      <w:pStyle w:val="11"/>
                      <w:ind w:firstLine="560" w:firstLineChars="20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g2NjdjNGYzMzBhM2U1ODhiNDA4ZWVjZTgwNjAzZWUifQ=="/>
  </w:docVars>
  <w:rsids>
    <w:rsidRoot w:val="007C0289"/>
    <w:rsid w:val="00016C0B"/>
    <w:rsid w:val="00016E35"/>
    <w:rsid w:val="000174DB"/>
    <w:rsid w:val="00017C94"/>
    <w:rsid w:val="000241C1"/>
    <w:rsid w:val="00031D68"/>
    <w:rsid w:val="00040569"/>
    <w:rsid w:val="00046A26"/>
    <w:rsid w:val="00052347"/>
    <w:rsid w:val="00052AB5"/>
    <w:rsid w:val="000715D5"/>
    <w:rsid w:val="000758AA"/>
    <w:rsid w:val="00080D17"/>
    <w:rsid w:val="000A1A59"/>
    <w:rsid w:val="000A3CF5"/>
    <w:rsid w:val="00100324"/>
    <w:rsid w:val="0010212C"/>
    <w:rsid w:val="0010691C"/>
    <w:rsid w:val="00110341"/>
    <w:rsid w:val="00122DA1"/>
    <w:rsid w:val="001538E1"/>
    <w:rsid w:val="001649CF"/>
    <w:rsid w:val="00175769"/>
    <w:rsid w:val="00196449"/>
    <w:rsid w:val="001A092C"/>
    <w:rsid w:val="001A23AC"/>
    <w:rsid w:val="001B0C42"/>
    <w:rsid w:val="001B5254"/>
    <w:rsid w:val="001B5E6C"/>
    <w:rsid w:val="001E5093"/>
    <w:rsid w:val="001E54B9"/>
    <w:rsid w:val="001F4430"/>
    <w:rsid w:val="00217CEF"/>
    <w:rsid w:val="002363B0"/>
    <w:rsid w:val="002366FA"/>
    <w:rsid w:val="0023796B"/>
    <w:rsid w:val="00256649"/>
    <w:rsid w:val="002620B1"/>
    <w:rsid w:val="00276059"/>
    <w:rsid w:val="00276F42"/>
    <w:rsid w:val="00280842"/>
    <w:rsid w:val="00296928"/>
    <w:rsid w:val="002A38B7"/>
    <w:rsid w:val="002C0530"/>
    <w:rsid w:val="002E4CBE"/>
    <w:rsid w:val="002F234D"/>
    <w:rsid w:val="002F4212"/>
    <w:rsid w:val="00307A88"/>
    <w:rsid w:val="003167BD"/>
    <w:rsid w:val="00327375"/>
    <w:rsid w:val="003347D0"/>
    <w:rsid w:val="00347189"/>
    <w:rsid w:val="003532FE"/>
    <w:rsid w:val="00355B03"/>
    <w:rsid w:val="00355F8D"/>
    <w:rsid w:val="00371310"/>
    <w:rsid w:val="003723B5"/>
    <w:rsid w:val="003820D6"/>
    <w:rsid w:val="00393FE8"/>
    <w:rsid w:val="003B4919"/>
    <w:rsid w:val="003C32B7"/>
    <w:rsid w:val="003C4298"/>
    <w:rsid w:val="003C6551"/>
    <w:rsid w:val="003D0E57"/>
    <w:rsid w:val="003D3934"/>
    <w:rsid w:val="003E2E58"/>
    <w:rsid w:val="003E4B8A"/>
    <w:rsid w:val="003E72AD"/>
    <w:rsid w:val="004061FC"/>
    <w:rsid w:val="00417FEF"/>
    <w:rsid w:val="0042077D"/>
    <w:rsid w:val="0042108A"/>
    <w:rsid w:val="00423CC6"/>
    <w:rsid w:val="00425A0D"/>
    <w:rsid w:val="00431347"/>
    <w:rsid w:val="00433873"/>
    <w:rsid w:val="00434F0E"/>
    <w:rsid w:val="004804F7"/>
    <w:rsid w:val="0049081F"/>
    <w:rsid w:val="004A5F1B"/>
    <w:rsid w:val="004B5141"/>
    <w:rsid w:val="004D0311"/>
    <w:rsid w:val="004D131B"/>
    <w:rsid w:val="004D400F"/>
    <w:rsid w:val="004E149A"/>
    <w:rsid w:val="004E2329"/>
    <w:rsid w:val="004F244D"/>
    <w:rsid w:val="00504B5C"/>
    <w:rsid w:val="00530320"/>
    <w:rsid w:val="0053135D"/>
    <w:rsid w:val="00542FDF"/>
    <w:rsid w:val="005B6478"/>
    <w:rsid w:val="005D490B"/>
    <w:rsid w:val="005D567B"/>
    <w:rsid w:val="005F0365"/>
    <w:rsid w:val="006002E3"/>
    <w:rsid w:val="00607F76"/>
    <w:rsid w:val="00613B44"/>
    <w:rsid w:val="0062153A"/>
    <w:rsid w:val="00622E3F"/>
    <w:rsid w:val="00632326"/>
    <w:rsid w:val="006478FF"/>
    <w:rsid w:val="00654E9D"/>
    <w:rsid w:val="00692001"/>
    <w:rsid w:val="006963F9"/>
    <w:rsid w:val="006A7470"/>
    <w:rsid w:val="006C1EBF"/>
    <w:rsid w:val="006E7B76"/>
    <w:rsid w:val="00701EF7"/>
    <w:rsid w:val="00716744"/>
    <w:rsid w:val="0072188A"/>
    <w:rsid w:val="007273EE"/>
    <w:rsid w:val="007550F2"/>
    <w:rsid w:val="007604E7"/>
    <w:rsid w:val="00763F61"/>
    <w:rsid w:val="0077648D"/>
    <w:rsid w:val="007B2C86"/>
    <w:rsid w:val="007B402F"/>
    <w:rsid w:val="007B4BB7"/>
    <w:rsid w:val="007B7B11"/>
    <w:rsid w:val="007C0289"/>
    <w:rsid w:val="007C21F6"/>
    <w:rsid w:val="007E02FB"/>
    <w:rsid w:val="007E113D"/>
    <w:rsid w:val="007E4885"/>
    <w:rsid w:val="007F2371"/>
    <w:rsid w:val="00804B9A"/>
    <w:rsid w:val="00806760"/>
    <w:rsid w:val="008248FB"/>
    <w:rsid w:val="0084049E"/>
    <w:rsid w:val="00845231"/>
    <w:rsid w:val="00873EFD"/>
    <w:rsid w:val="00876B55"/>
    <w:rsid w:val="008779A2"/>
    <w:rsid w:val="00892D2F"/>
    <w:rsid w:val="008A7436"/>
    <w:rsid w:val="008B50C0"/>
    <w:rsid w:val="008B6A7C"/>
    <w:rsid w:val="008C74AD"/>
    <w:rsid w:val="008F69F0"/>
    <w:rsid w:val="009305E5"/>
    <w:rsid w:val="00934C9A"/>
    <w:rsid w:val="009364EF"/>
    <w:rsid w:val="009367BF"/>
    <w:rsid w:val="0095292D"/>
    <w:rsid w:val="009565A9"/>
    <w:rsid w:val="0096104B"/>
    <w:rsid w:val="0097680B"/>
    <w:rsid w:val="009857C0"/>
    <w:rsid w:val="0099403B"/>
    <w:rsid w:val="009B0832"/>
    <w:rsid w:val="009E0307"/>
    <w:rsid w:val="009E6C20"/>
    <w:rsid w:val="009F0696"/>
    <w:rsid w:val="009F1407"/>
    <w:rsid w:val="009F26B7"/>
    <w:rsid w:val="00A019A3"/>
    <w:rsid w:val="00A03520"/>
    <w:rsid w:val="00A071B8"/>
    <w:rsid w:val="00A1709D"/>
    <w:rsid w:val="00A23E12"/>
    <w:rsid w:val="00A31153"/>
    <w:rsid w:val="00A42F40"/>
    <w:rsid w:val="00A44C0E"/>
    <w:rsid w:val="00A553C7"/>
    <w:rsid w:val="00A63628"/>
    <w:rsid w:val="00AB24D0"/>
    <w:rsid w:val="00AC1484"/>
    <w:rsid w:val="00AC5012"/>
    <w:rsid w:val="00AF7003"/>
    <w:rsid w:val="00B51715"/>
    <w:rsid w:val="00B55FF0"/>
    <w:rsid w:val="00B64222"/>
    <w:rsid w:val="00B67F6A"/>
    <w:rsid w:val="00B82FA9"/>
    <w:rsid w:val="00B865BB"/>
    <w:rsid w:val="00B907A9"/>
    <w:rsid w:val="00B956BA"/>
    <w:rsid w:val="00BA04B0"/>
    <w:rsid w:val="00BA169D"/>
    <w:rsid w:val="00BA505B"/>
    <w:rsid w:val="00BD054A"/>
    <w:rsid w:val="00BD1C1A"/>
    <w:rsid w:val="00C00D07"/>
    <w:rsid w:val="00C0356D"/>
    <w:rsid w:val="00C13A64"/>
    <w:rsid w:val="00C26686"/>
    <w:rsid w:val="00C441BA"/>
    <w:rsid w:val="00C87709"/>
    <w:rsid w:val="00C92886"/>
    <w:rsid w:val="00CB188B"/>
    <w:rsid w:val="00CB31DD"/>
    <w:rsid w:val="00CC1D4B"/>
    <w:rsid w:val="00CC44EA"/>
    <w:rsid w:val="00CC7B36"/>
    <w:rsid w:val="00CD1AD8"/>
    <w:rsid w:val="00CE1CD2"/>
    <w:rsid w:val="00CF10FC"/>
    <w:rsid w:val="00D3245A"/>
    <w:rsid w:val="00D32D17"/>
    <w:rsid w:val="00D83BA0"/>
    <w:rsid w:val="00DA1E23"/>
    <w:rsid w:val="00DB19D4"/>
    <w:rsid w:val="00DC1817"/>
    <w:rsid w:val="00DC5E6F"/>
    <w:rsid w:val="00DF401A"/>
    <w:rsid w:val="00E070CD"/>
    <w:rsid w:val="00E07565"/>
    <w:rsid w:val="00E34495"/>
    <w:rsid w:val="00E6049A"/>
    <w:rsid w:val="00E63696"/>
    <w:rsid w:val="00E64ECF"/>
    <w:rsid w:val="00E84155"/>
    <w:rsid w:val="00E84904"/>
    <w:rsid w:val="00E84AF9"/>
    <w:rsid w:val="00EA06DC"/>
    <w:rsid w:val="00EA25F7"/>
    <w:rsid w:val="00EB6276"/>
    <w:rsid w:val="00ED312E"/>
    <w:rsid w:val="00ED752F"/>
    <w:rsid w:val="00EF187B"/>
    <w:rsid w:val="00F05FEB"/>
    <w:rsid w:val="00F21753"/>
    <w:rsid w:val="00F26A07"/>
    <w:rsid w:val="00F32AB5"/>
    <w:rsid w:val="00F357FA"/>
    <w:rsid w:val="00F43803"/>
    <w:rsid w:val="00F47E59"/>
    <w:rsid w:val="00F668AB"/>
    <w:rsid w:val="00F66FA8"/>
    <w:rsid w:val="00F8179E"/>
    <w:rsid w:val="00F8316B"/>
    <w:rsid w:val="00F95861"/>
    <w:rsid w:val="00FB3931"/>
    <w:rsid w:val="00FC2343"/>
    <w:rsid w:val="00FD2B6C"/>
    <w:rsid w:val="00FD5EE8"/>
    <w:rsid w:val="00FE784F"/>
    <w:rsid w:val="011B2D5D"/>
    <w:rsid w:val="01B253DC"/>
    <w:rsid w:val="01EB6D4F"/>
    <w:rsid w:val="01FF3BC3"/>
    <w:rsid w:val="0203506B"/>
    <w:rsid w:val="021A42A0"/>
    <w:rsid w:val="02CB6D3A"/>
    <w:rsid w:val="030423F6"/>
    <w:rsid w:val="031D3EAC"/>
    <w:rsid w:val="032E19C4"/>
    <w:rsid w:val="033F7B26"/>
    <w:rsid w:val="03660724"/>
    <w:rsid w:val="036F0133"/>
    <w:rsid w:val="03C5251D"/>
    <w:rsid w:val="03D820E2"/>
    <w:rsid w:val="04960A74"/>
    <w:rsid w:val="049D3095"/>
    <w:rsid w:val="04A056C5"/>
    <w:rsid w:val="04A625D6"/>
    <w:rsid w:val="04B22993"/>
    <w:rsid w:val="052E13A0"/>
    <w:rsid w:val="05607B1B"/>
    <w:rsid w:val="05D5053A"/>
    <w:rsid w:val="05F94D1C"/>
    <w:rsid w:val="063F7135"/>
    <w:rsid w:val="06481648"/>
    <w:rsid w:val="069A6E73"/>
    <w:rsid w:val="06F5630F"/>
    <w:rsid w:val="07B37E70"/>
    <w:rsid w:val="07E951E7"/>
    <w:rsid w:val="07EC303C"/>
    <w:rsid w:val="07F96BD2"/>
    <w:rsid w:val="08045FDD"/>
    <w:rsid w:val="08325E0E"/>
    <w:rsid w:val="08614360"/>
    <w:rsid w:val="086C5D2B"/>
    <w:rsid w:val="087529BA"/>
    <w:rsid w:val="087D1992"/>
    <w:rsid w:val="089F10BE"/>
    <w:rsid w:val="08C156CC"/>
    <w:rsid w:val="08D60D7B"/>
    <w:rsid w:val="09411E68"/>
    <w:rsid w:val="09470030"/>
    <w:rsid w:val="09A663EF"/>
    <w:rsid w:val="09A95209"/>
    <w:rsid w:val="0A004B83"/>
    <w:rsid w:val="0A0B43A6"/>
    <w:rsid w:val="0A3A34DF"/>
    <w:rsid w:val="0A703183"/>
    <w:rsid w:val="0BA2256E"/>
    <w:rsid w:val="0BD162D4"/>
    <w:rsid w:val="0C19623C"/>
    <w:rsid w:val="0C1E40B3"/>
    <w:rsid w:val="0C246A7D"/>
    <w:rsid w:val="0C4579E9"/>
    <w:rsid w:val="0DAB3F1E"/>
    <w:rsid w:val="0DC32235"/>
    <w:rsid w:val="0DC46374"/>
    <w:rsid w:val="0DC71255"/>
    <w:rsid w:val="0DCB6BC1"/>
    <w:rsid w:val="0DD769A4"/>
    <w:rsid w:val="0E9107ED"/>
    <w:rsid w:val="0EC95D65"/>
    <w:rsid w:val="0ED7355F"/>
    <w:rsid w:val="0EDF6E31"/>
    <w:rsid w:val="0F2B11D8"/>
    <w:rsid w:val="0F966090"/>
    <w:rsid w:val="0F9B624F"/>
    <w:rsid w:val="0FD75D74"/>
    <w:rsid w:val="104B17CF"/>
    <w:rsid w:val="10FD47EF"/>
    <w:rsid w:val="1116745B"/>
    <w:rsid w:val="11281B7F"/>
    <w:rsid w:val="113F441E"/>
    <w:rsid w:val="114A7A69"/>
    <w:rsid w:val="119A3351"/>
    <w:rsid w:val="11C656DF"/>
    <w:rsid w:val="11DD2EAF"/>
    <w:rsid w:val="121A6030"/>
    <w:rsid w:val="12222B48"/>
    <w:rsid w:val="1227559E"/>
    <w:rsid w:val="12300CB6"/>
    <w:rsid w:val="128E4751"/>
    <w:rsid w:val="12900072"/>
    <w:rsid w:val="129E1542"/>
    <w:rsid w:val="129E6A70"/>
    <w:rsid w:val="129F06F3"/>
    <w:rsid w:val="12AB5015"/>
    <w:rsid w:val="12C13FCD"/>
    <w:rsid w:val="12E719E2"/>
    <w:rsid w:val="12E87D64"/>
    <w:rsid w:val="135D1AAA"/>
    <w:rsid w:val="137C44B5"/>
    <w:rsid w:val="13BA4DA1"/>
    <w:rsid w:val="13C6337F"/>
    <w:rsid w:val="13C82222"/>
    <w:rsid w:val="13F02797"/>
    <w:rsid w:val="142277A4"/>
    <w:rsid w:val="14316161"/>
    <w:rsid w:val="146A2144"/>
    <w:rsid w:val="14B977A4"/>
    <w:rsid w:val="14BB163A"/>
    <w:rsid w:val="14BC4BCB"/>
    <w:rsid w:val="14D83525"/>
    <w:rsid w:val="1506720B"/>
    <w:rsid w:val="151C3907"/>
    <w:rsid w:val="15243504"/>
    <w:rsid w:val="154F2ADA"/>
    <w:rsid w:val="154F52EA"/>
    <w:rsid w:val="15FA049E"/>
    <w:rsid w:val="16105D08"/>
    <w:rsid w:val="16465E0D"/>
    <w:rsid w:val="1680040B"/>
    <w:rsid w:val="16D911F2"/>
    <w:rsid w:val="16EA3B9B"/>
    <w:rsid w:val="16F41721"/>
    <w:rsid w:val="16FC46FF"/>
    <w:rsid w:val="17225C61"/>
    <w:rsid w:val="17331923"/>
    <w:rsid w:val="173476BD"/>
    <w:rsid w:val="173F16E2"/>
    <w:rsid w:val="17487240"/>
    <w:rsid w:val="17A379AF"/>
    <w:rsid w:val="17ED5F21"/>
    <w:rsid w:val="17F632F4"/>
    <w:rsid w:val="183009C1"/>
    <w:rsid w:val="18FD551C"/>
    <w:rsid w:val="197014C2"/>
    <w:rsid w:val="19837CF4"/>
    <w:rsid w:val="199069CB"/>
    <w:rsid w:val="19AE6C73"/>
    <w:rsid w:val="19CE4267"/>
    <w:rsid w:val="19D851D8"/>
    <w:rsid w:val="19EB2FA8"/>
    <w:rsid w:val="19EF4ECC"/>
    <w:rsid w:val="19FD32E8"/>
    <w:rsid w:val="1A882696"/>
    <w:rsid w:val="1AC05EB8"/>
    <w:rsid w:val="1AF11E95"/>
    <w:rsid w:val="1B2C0D72"/>
    <w:rsid w:val="1B7504F8"/>
    <w:rsid w:val="1BA10530"/>
    <w:rsid w:val="1BCD2FE4"/>
    <w:rsid w:val="1BD27CD4"/>
    <w:rsid w:val="1C4749E4"/>
    <w:rsid w:val="1C570FAA"/>
    <w:rsid w:val="1C585BCD"/>
    <w:rsid w:val="1C893891"/>
    <w:rsid w:val="1C8D6BA0"/>
    <w:rsid w:val="1CBC297D"/>
    <w:rsid w:val="1CD2515E"/>
    <w:rsid w:val="1CE94E1E"/>
    <w:rsid w:val="1CF22857"/>
    <w:rsid w:val="1D57726F"/>
    <w:rsid w:val="1D7A410F"/>
    <w:rsid w:val="1DB40694"/>
    <w:rsid w:val="1DDE71A1"/>
    <w:rsid w:val="1F5173A6"/>
    <w:rsid w:val="1F7E161D"/>
    <w:rsid w:val="1FC07E53"/>
    <w:rsid w:val="1FE946FB"/>
    <w:rsid w:val="20044F9C"/>
    <w:rsid w:val="200F66EB"/>
    <w:rsid w:val="20136ED9"/>
    <w:rsid w:val="202518AC"/>
    <w:rsid w:val="203332B5"/>
    <w:rsid w:val="203C75AD"/>
    <w:rsid w:val="205A658F"/>
    <w:rsid w:val="20C205A5"/>
    <w:rsid w:val="20C66B81"/>
    <w:rsid w:val="210D0AE0"/>
    <w:rsid w:val="21257950"/>
    <w:rsid w:val="21353539"/>
    <w:rsid w:val="219A54C7"/>
    <w:rsid w:val="22200AF9"/>
    <w:rsid w:val="222315FD"/>
    <w:rsid w:val="224E1874"/>
    <w:rsid w:val="225A0524"/>
    <w:rsid w:val="22AE3AF4"/>
    <w:rsid w:val="22C46BBC"/>
    <w:rsid w:val="22D336A4"/>
    <w:rsid w:val="22DC227A"/>
    <w:rsid w:val="22E67C6B"/>
    <w:rsid w:val="23221044"/>
    <w:rsid w:val="23735AF3"/>
    <w:rsid w:val="237713D0"/>
    <w:rsid w:val="23B00D72"/>
    <w:rsid w:val="23CF08FF"/>
    <w:rsid w:val="23D54ED7"/>
    <w:rsid w:val="23E56810"/>
    <w:rsid w:val="24101912"/>
    <w:rsid w:val="2440396F"/>
    <w:rsid w:val="245D2308"/>
    <w:rsid w:val="247C633E"/>
    <w:rsid w:val="24836AE3"/>
    <w:rsid w:val="24A237CD"/>
    <w:rsid w:val="24C07B34"/>
    <w:rsid w:val="254774B9"/>
    <w:rsid w:val="25835403"/>
    <w:rsid w:val="25951FC5"/>
    <w:rsid w:val="25961692"/>
    <w:rsid w:val="262B5EBF"/>
    <w:rsid w:val="264F4085"/>
    <w:rsid w:val="26545DF4"/>
    <w:rsid w:val="26756A83"/>
    <w:rsid w:val="2694528A"/>
    <w:rsid w:val="26C6182F"/>
    <w:rsid w:val="26CA2257"/>
    <w:rsid w:val="26E97724"/>
    <w:rsid w:val="270E53B6"/>
    <w:rsid w:val="272A3D0D"/>
    <w:rsid w:val="273F03C6"/>
    <w:rsid w:val="27410689"/>
    <w:rsid w:val="27455EA0"/>
    <w:rsid w:val="276214A6"/>
    <w:rsid w:val="2794702C"/>
    <w:rsid w:val="27AD5DAD"/>
    <w:rsid w:val="27CF0D76"/>
    <w:rsid w:val="27E701C0"/>
    <w:rsid w:val="27EF682A"/>
    <w:rsid w:val="28217AEF"/>
    <w:rsid w:val="2849353B"/>
    <w:rsid w:val="28602F17"/>
    <w:rsid w:val="286C30EF"/>
    <w:rsid w:val="28B52DE3"/>
    <w:rsid w:val="28E21563"/>
    <w:rsid w:val="290468B1"/>
    <w:rsid w:val="292F48F1"/>
    <w:rsid w:val="29502D46"/>
    <w:rsid w:val="297101DC"/>
    <w:rsid w:val="29917B7A"/>
    <w:rsid w:val="29A62580"/>
    <w:rsid w:val="29A738BE"/>
    <w:rsid w:val="29C93DF2"/>
    <w:rsid w:val="29E1288B"/>
    <w:rsid w:val="2A277303"/>
    <w:rsid w:val="2A287E16"/>
    <w:rsid w:val="2A2E2FB9"/>
    <w:rsid w:val="2A337614"/>
    <w:rsid w:val="2A497822"/>
    <w:rsid w:val="2AD94707"/>
    <w:rsid w:val="2AEB1A8C"/>
    <w:rsid w:val="2AFE6CD2"/>
    <w:rsid w:val="2B082895"/>
    <w:rsid w:val="2B1610DE"/>
    <w:rsid w:val="2B294896"/>
    <w:rsid w:val="2B2D405C"/>
    <w:rsid w:val="2B4B5E53"/>
    <w:rsid w:val="2B6E6A3F"/>
    <w:rsid w:val="2B9A3679"/>
    <w:rsid w:val="2B9F6AC6"/>
    <w:rsid w:val="2BB139E1"/>
    <w:rsid w:val="2C42224D"/>
    <w:rsid w:val="2C541AB9"/>
    <w:rsid w:val="2C6D513E"/>
    <w:rsid w:val="2C9B6834"/>
    <w:rsid w:val="2CA14ACF"/>
    <w:rsid w:val="2CBE1015"/>
    <w:rsid w:val="2CCA1E7B"/>
    <w:rsid w:val="2D213FD9"/>
    <w:rsid w:val="2D862BE4"/>
    <w:rsid w:val="2D8E19D6"/>
    <w:rsid w:val="2DA45170"/>
    <w:rsid w:val="2DC17DC3"/>
    <w:rsid w:val="2DF33D2D"/>
    <w:rsid w:val="2EA40206"/>
    <w:rsid w:val="2EBD51AF"/>
    <w:rsid w:val="2EBF500B"/>
    <w:rsid w:val="2EE8110A"/>
    <w:rsid w:val="2F353F06"/>
    <w:rsid w:val="2F5D7558"/>
    <w:rsid w:val="2F8B5943"/>
    <w:rsid w:val="2FCE61CE"/>
    <w:rsid w:val="302453B0"/>
    <w:rsid w:val="304A3E2B"/>
    <w:rsid w:val="309C443C"/>
    <w:rsid w:val="30D14181"/>
    <w:rsid w:val="31016B9A"/>
    <w:rsid w:val="311660E4"/>
    <w:rsid w:val="319600B7"/>
    <w:rsid w:val="31F2256A"/>
    <w:rsid w:val="320700D8"/>
    <w:rsid w:val="325F0D58"/>
    <w:rsid w:val="32662F53"/>
    <w:rsid w:val="32771FA9"/>
    <w:rsid w:val="32C43B4E"/>
    <w:rsid w:val="32D61E6F"/>
    <w:rsid w:val="32E80958"/>
    <w:rsid w:val="32F36104"/>
    <w:rsid w:val="33615CE1"/>
    <w:rsid w:val="33810EDA"/>
    <w:rsid w:val="338F274A"/>
    <w:rsid w:val="3390263E"/>
    <w:rsid w:val="33E71C39"/>
    <w:rsid w:val="34864C9E"/>
    <w:rsid w:val="350921F6"/>
    <w:rsid w:val="35200B90"/>
    <w:rsid w:val="355F2C57"/>
    <w:rsid w:val="356A5882"/>
    <w:rsid w:val="35713776"/>
    <w:rsid w:val="358318DA"/>
    <w:rsid w:val="35841207"/>
    <w:rsid w:val="35A149B6"/>
    <w:rsid w:val="35B622A9"/>
    <w:rsid w:val="35F36A89"/>
    <w:rsid w:val="362C201E"/>
    <w:rsid w:val="36A92C83"/>
    <w:rsid w:val="36C44B10"/>
    <w:rsid w:val="36CC21D4"/>
    <w:rsid w:val="3754498B"/>
    <w:rsid w:val="375B3BB3"/>
    <w:rsid w:val="37756C21"/>
    <w:rsid w:val="377F586E"/>
    <w:rsid w:val="378B382E"/>
    <w:rsid w:val="378C0530"/>
    <w:rsid w:val="378C1051"/>
    <w:rsid w:val="38313C66"/>
    <w:rsid w:val="38853E25"/>
    <w:rsid w:val="389D625F"/>
    <w:rsid w:val="38FD76B4"/>
    <w:rsid w:val="3920069B"/>
    <w:rsid w:val="394B6525"/>
    <w:rsid w:val="39927A76"/>
    <w:rsid w:val="399F3A91"/>
    <w:rsid w:val="39B21F24"/>
    <w:rsid w:val="39B63C9B"/>
    <w:rsid w:val="39C632A4"/>
    <w:rsid w:val="3A4B0556"/>
    <w:rsid w:val="3A754747"/>
    <w:rsid w:val="3A7F1203"/>
    <w:rsid w:val="3A8D375B"/>
    <w:rsid w:val="3AB538B8"/>
    <w:rsid w:val="3B7B3275"/>
    <w:rsid w:val="3B9D31EB"/>
    <w:rsid w:val="3C25460C"/>
    <w:rsid w:val="3C2E0301"/>
    <w:rsid w:val="3C5F5F7E"/>
    <w:rsid w:val="3C935BA4"/>
    <w:rsid w:val="3CF75E11"/>
    <w:rsid w:val="3D0146CE"/>
    <w:rsid w:val="3D117DCF"/>
    <w:rsid w:val="3D470119"/>
    <w:rsid w:val="3D52127A"/>
    <w:rsid w:val="3D5240C6"/>
    <w:rsid w:val="3D867D4F"/>
    <w:rsid w:val="3DC44E63"/>
    <w:rsid w:val="3DF233A2"/>
    <w:rsid w:val="3E3553B5"/>
    <w:rsid w:val="3E4D7489"/>
    <w:rsid w:val="3E6E6179"/>
    <w:rsid w:val="3E7F4BCB"/>
    <w:rsid w:val="3E936CDD"/>
    <w:rsid w:val="3EA2395E"/>
    <w:rsid w:val="3EB45BCD"/>
    <w:rsid w:val="3ED64A80"/>
    <w:rsid w:val="3EDA6206"/>
    <w:rsid w:val="3EF322FC"/>
    <w:rsid w:val="3F4A17E5"/>
    <w:rsid w:val="3F7D3D9E"/>
    <w:rsid w:val="3FAB5F5A"/>
    <w:rsid w:val="40201CFB"/>
    <w:rsid w:val="40344913"/>
    <w:rsid w:val="40A01840"/>
    <w:rsid w:val="40F420CF"/>
    <w:rsid w:val="41081474"/>
    <w:rsid w:val="41585854"/>
    <w:rsid w:val="41BD3F54"/>
    <w:rsid w:val="41C90964"/>
    <w:rsid w:val="41E67040"/>
    <w:rsid w:val="425A15BC"/>
    <w:rsid w:val="42951104"/>
    <w:rsid w:val="429C4D59"/>
    <w:rsid w:val="42A80DEC"/>
    <w:rsid w:val="42B12D4C"/>
    <w:rsid w:val="42B326F9"/>
    <w:rsid w:val="42D02B21"/>
    <w:rsid w:val="42E54EA0"/>
    <w:rsid w:val="431B7BF4"/>
    <w:rsid w:val="432A6671"/>
    <w:rsid w:val="432E35DA"/>
    <w:rsid w:val="4349303D"/>
    <w:rsid w:val="43880131"/>
    <w:rsid w:val="43D0641F"/>
    <w:rsid w:val="4408777C"/>
    <w:rsid w:val="44167CD8"/>
    <w:rsid w:val="441B4AAB"/>
    <w:rsid w:val="44466BA2"/>
    <w:rsid w:val="4471018D"/>
    <w:rsid w:val="44D546F0"/>
    <w:rsid w:val="4570149D"/>
    <w:rsid w:val="45AF6C9F"/>
    <w:rsid w:val="45C10AC5"/>
    <w:rsid w:val="45D101C5"/>
    <w:rsid w:val="46192146"/>
    <w:rsid w:val="462569D9"/>
    <w:rsid w:val="467243EC"/>
    <w:rsid w:val="46CA524B"/>
    <w:rsid w:val="47235996"/>
    <w:rsid w:val="477E06B3"/>
    <w:rsid w:val="486E4400"/>
    <w:rsid w:val="48974C49"/>
    <w:rsid w:val="48986AEF"/>
    <w:rsid w:val="48F36D03"/>
    <w:rsid w:val="48F7301E"/>
    <w:rsid w:val="4939109A"/>
    <w:rsid w:val="499B11F6"/>
    <w:rsid w:val="49F15CC0"/>
    <w:rsid w:val="4A351199"/>
    <w:rsid w:val="4A445CDF"/>
    <w:rsid w:val="4A637B25"/>
    <w:rsid w:val="4A690301"/>
    <w:rsid w:val="4A6E0EB3"/>
    <w:rsid w:val="4AC0031A"/>
    <w:rsid w:val="4AC06990"/>
    <w:rsid w:val="4B044035"/>
    <w:rsid w:val="4B382828"/>
    <w:rsid w:val="4B5F2A6B"/>
    <w:rsid w:val="4C057059"/>
    <w:rsid w:val="4C2269B9"/>
    <w:rsid w:val="4C23620A"/>
    <w:rsid w:val="4C3779EC"/>
    <w:rsid w:val="4C9E1070"/>
    <w:rsid w:val="4CAB2C8D"/>
    <w:rsid w:val="4D025A7D"/>
    <w:rsid w:val="4D211A49"/>
    <w:rsid w:val="4D4C5262"/>
    <w:rsid w:val="4D5C5478"/>
    <w:rsid w:val="4D7854C1"/>
    <w:rsid w:val="4DD67B3D"/>
    <w:rsid w:val="4DF6644E"/>
    <w:rsid w:val="4E604064"/>
    <w:rsid w:val="4E715207"/>
    <w:rsid w:val="4EEA3DCD"/>
    <w:rsid w:val="4F0D2D84"/>
    <w:rsid w:val="4F757CE3"/>
    <w:rsid w:val="4FDE7F72"/>
    <w:rsid w:val="50213EBE"/>
    <w:rsid w:val="5059394A"/>
    <w:rsid w:val="50892CFF"/>
    <w:rsid w:val="50B52C6C"/>
    <w:rsid w:val="50B648B8"/>
    <w:rsid w:val="511C0529"/>
    <w:rsid w:val="51835291"/>
    <w:rsid w:val="51FF5F93"/>
    <w:rsid w:val="52061105"/>
    <w:rsid w:val="520A067F"/>
    <w:rsid w:val="521B30A0"/>
    <w:rsid w:val="523C52E4"/>
    <w:rsid w:val="52423017"/>
    <w:rsid w:val="52534C61"/>
    <w:rsid w:val="525C510C"/>
    <w:rsid w:val="52B34878"/>
    <w:rsid w:val="52BD304C"/>
    <w:rsid w:val="533B25FC"/>
    <w:rsid w:val="53B80E3C"/>
    <w:rsid w:val="542C7B0D"/>
    <w:rsid w:val="54355705"/>
    <w:rsid w:val="54675839"/>
    <w:rsid w:val="548B5024"/>
    <w:rsid w:val="54AD114A"/>
    <w:rsid w:val="54CF1CFE"/>
    <w:rsid w:val="54E51DF9"/>
    <w:rsid w:val="54F20A84"/>
    <w:rsid w:val="55425416"/>
    <w:rsid w:val="558D6D42"/>
    <w:rsid w:val="5648777D"/>
    <w:rsid w:val="5673464F"/>
    <w:rsid w:val="56E850D1"/>
    <w:rsid w:val="573F208A"/>
    <w:rsid w:val="57497207"/>
    <w:rsid w:val="5762702C"/>
    <w:rsid w:val="577A2073"/>
    <w:rsid w:val="582F1556"/>
    <w:rsid w:val="583B07BA"/>
    <w:rsid w:val="584636B0"/>
    <w:rsid w:val="588E146E"/>
    <w:rsid w:val="590E6EEA"/>
    <w:rsid w:val="5978689F"/>
    <w:rsid w:val="59B212B6"/>
    <w:rsid w:val="59C45D67"/>
    <w:rsid w:val="59D13318"/>
    <w:rsid w:val="5A866E2D"/>
    <w:rsid w:val="5A9039AE"/>
    <w:rsid w:val="5AA73E8A"/>
    <w:rsid w:val="5ADF64E5"/>
    <w:rsid w:val="5B2E57B0"/>
    <w:rsid w:val="5CC65785"/>
    <w:rsid w:val="5D0D4203"/>
    <w:rsid w:val="5D6508F1"/>
    <w:rsid w:val="5D68429D"/>
    <w:rsid w:val="5DBF497A"/>
    <w:rsid w:val="5DE365B5"/>
    <w:rsid w:val="5E871F82"/>
    <w:rsid w:val="5EA84F56"/>
    <w:rsid w:val="5ED42807"/>
    <w:rsid w:val="5F021772"/>
    <w:rsid w:val="5F3426FC"/>
    <w:rsid w:val="5FC633C6"/>
    <w:rsid w:val="5FC837A9"/>
    <w:rsid w:val="5FE012A7"/>
    <w:rsid w:val="601140FE"/>
    <w:rsid w:val="602840DC"/>
    <w:rsid w:val="60563E9C"/>
    <w:rsid w:val="60A01243"/>
    <w:rsid w:val="610E1BD0"/>
    <w:rsid w:val="615E2386"/>
    <w:rsid w:val="618547EE"/>
    <w:rsid w:val="61931F8B"/>
    <w:rsid w:val="61FD68D2"/>
    <w:rsid w:val="6263195E"/>
    <w:rsid w:val="628F37BA"/>
    <w:rsid w:val="62B537AF"/>
    <w:rsid w:val="62BD6917"/>
    <w:rsid w:val="62E1256E"/>
    <w:rsid w:val="62F03C7C"/>
    <w:rsid w:val="62FE5E6A"/>
    <w:rsid w:val="630056CC"/>
    <w:rsid w:val="632C3473"/>
    <w:rsid w:val="633606FB"/>
    <w:rsid w:val="635635B4"/>
    <w:rsid w:val="63A05D8F"/>
    <w:rsid w:val="63BE0A49"/>
    <w:rsid w:val="64913037"/>
    <w:rsid w:val="649B4D1B"/>
    <w:rsid w:val="65053C5C"/>
    <w:rsid w:val="654B0664"/>
    <w:rsid w:val="655B3969"/>
    <w:rsid w:val="65A35F7B"/>
    <w:rsid w:val="65C16340"/>
    <w:rsid w:val="65C27892"/>
    <w:rsid w:val="661C57DF"/>
    <w:rsid w:val="66E31115"/>
    <w:rsid w:val="66FE13F1"/>
    <w:rsid w:val="670D6F06"/>
    <w:rsid w:val="6791480A"/>
    <w:rsid w:val="679B2DC2"/>
    <w:rsid w:val="67E41E4E"/>
    <w:rsid w:val="681012C3"/>
    <w:rsid w:val="682E1E2F"/>
    <w:rsid w:val="683A575B"/>
    <w:rsid w:val="68560CA4"/>
    <w:rsid w:val="68575B98"/>
    <w:rsid w:val="68701E42"/>
    <w:rsid w:val="68A351C7"/>
    <w:rsid w:val="68A817B8"/>
    <w:rsid w:val="68CB5C92"/>
    <w:rsid w:val="69016A09"/>
    <w:rsid w:val="691F05AA"/>
    <w:rsid w:val="692D2DFF"/>
    <w:rsid w:val="69312A88"/>
    <w:rsid w:val="693D0D70"/>
    <w:rsid w:val="696F75E5"/>
    <w:rsid w:val="697475D5"/>
    <w:rsid w:val="69B144C0"/>
    <w:rsid w:val="69DE3AD5"/>
    <w:rsid w:val="6A0D67B3"/>
    <w:rsid w:val="6A1D78B5"/>
    <w:rsid w:val="6A2D4737"/>
    <w:rsid w:val="6A3E69E0"/>
    <w:rsid w:val="6A5826D0"/>
    <w:rsid w:val="6A765615"/>
    <w:rsid w:val="6AC449F5"/>
    <w:rsid w:val="6AD873B7"/>
    <w:rsid w:val="6B0212C9"/>
    <w:rsid w:val="6B0B4FEA"/>
    <w:rsid w:val="6B33530F"/>
    <w:rsid w:val="6B6E21AC"/>
    <w:rsid w:val="6B9145AA"/>
    <w:rsid w:val="6BF60FEB"/>
    <w:rsid w:val="6C050324"/>
    <w:rsid w:val="6C177131"/>
    <w:rsid w:val="6C35546B"/>
    <w:rsid w:val="6C5A4538"/>
    <w:rsid w:val="6C7372F1"/>
    <w:rsid w:val="6CD4633C"/>
    <w:rsid w:val="6CD527EE"/>
    <w:rsid w:val="6CD913FA"/>
    <w:rsid w:val="6D3054F7"/>
    <w:rsid w:val="6D986CBE"/>
    <w:rsid w:val="6DBA7E3A"/>
    <w:rsid w:val="6DBD1A18"/>
    <w:rsid w:val="6DC6305D"/>
    <w:rsid w:val="6DE30636"/>
    <w:rsid w:val="6E2D5DD3"/>
    <w:rsid w:val="6E4615BB"/>
    <w:rsid w:val="6E504098"/>
    <w:rsid w:val="6E6A0D42"/>
    <w:rsid w:val="6ED262C1"/>
    <w:rsid w:val="6EF53908"/>
    <w:rsid w:val="6F021310"/>
    <w:rsid w:val="6FAE3E9D"/>
    <w:rsid w:val="6FBE5390"/>
    <w:rsid w:val="6FC1001E"/>
    <w:rsid w:val="6FD65171"/>
    <w:rsid w:val="6FE74738"/>
    <w:rsid w:val="702F3549"/>
    <w:rsid w:val="706075FC"/>
    <w:rsid w:val="709005CF"/>
    <w:rsid w:val="70A311BA"/>
    <w:rsid w:val="70A53C4C"/>
    <w:rsid w:val="70E15860"/>
    <w:rsid w:val="70E16BFF"/>
    <w:rsid w:val="71266262"/>
    <w:rsid w:val="717D1473"/>
    <w:rsid w:val="71C42F9B"/>
    <w:rsid w:val="71E809A6"/>
    <w:rsid w:val="722E3800"/>
    <w:rsid w:val="72814B26"/>
    <w:rsid w:val="72F52E32"/>
    <w:rsid w:val="7304237A"/>
    <w:rsid w:val="73325F0F"/>
    <w:rsid w:val="73347508"/>
    <w:rsid w:val="73641770"/>
    <w:rsid w:val="739271CE"/>
    <w:rsid w:val="73BC3C39"/>
    <w:rsid w:val="744512EF"/>
    <w:rsid w:val="746D2050"/>
    <w:rsid w:val="74A50E15"/>
    <w:rsid w:val="74A77AE1"/>
    <w:rsid w:val="74EB662A"/>
    <w:rsid w:val="75011A05"/>
    <w:rsid w:val="750850D2"/>
    <w:rsid w:val="753A1898"/>
    <w:rsid w:val="7546556D"/>
    <w:rsid w:val="75522D89"/>
    <w:rsid w:val="75595D23"/>
    <w:rsid w:val="755E6025"/>
    <w:rsid w:val="7570430C"/>
    <w:rsid w:val="757717D6"/>
    <w:rsid w:val="758E6631"/>
    <w:rsid w:val="75924DEF"/>
    <w:rsid w:val="75A5150D"/>
    <w:rsid w:val="761D7CAE"/>
    <w:rsid w:val="7638716C"/>
    <w:rsid w:val="76684923"/>
    <w:rsid w:val="769A4897"/>
    <w:rsid w:val="76B26CEA"/>
    <w:rsid w:val="77046819"/>
    <w:rsid w:val="7706409E"/>
    <w:rsid w:val="77270F12"/>
    <w:rsid w:val="77565186"/>
    <w:rsid w:val="775F5980"/>
    <w:rsid w:val="777E622B"/>
    <w:rsid w:val="77C35680"/>
    <w:rsid w:val="77C362EC"/>
    <w:rsid w:val="78474FDC"/>
    <w:rsid w:val="78791E2E"/>
    <w:rsid w:val="78AC1070"/>
    <w:rsid w:val="799B7ABD"/>
    <w:rsid w:val="79D55FA9"/>
    <w:rsid w:val="79DA1B3E"/>
    <w:rsid w:val="7A2D6219"/>
    <w:rsid w:val="7A7E7B7A"/>
    <w:rsid w:val="7A8B0983"/>
    <w:rsid w:val="7AD14835"/>
    <w:rsid w:val="7AFB2FB6"/>
    <w:rsid w:val="7B1B5C3E"/>
    <w:rsid w:val="7B31797B"/>
    <w:rsid w:val="7B5950B6"/>
    <w:rsid w:val="7B9F7B25"/>
    <w:rsid w:val="7BA67699"/>
    <w:rsid w:val="7BBC473F"/>
    <w:rsid w:val="7BDF685E"/>
    <w:rsid w:val="7C086DBA"/>
    <w:rsid w:val="7C29571E"/>
    <w:rsid w:val="7C413482"/>
    <w:rsid w:val="7C58338A"/>
    <w:rsid w:val="7C691FB0"/>
    <w:rsid w:val="7CEA341E"/>
    <w:rsid w:val="7CEF4915"/>
    <w:rsid w:val="7CFC0F9F"/>
    <w:rsid w:val="7CFF61EF"/>
    <w:rsid w:val="7D0F532E"/>
    <w:rsid w:val="7D296609"/>
    <w:rsid w:val="7D3238F2"/>
    <w:rsid w:val="7DF32BAD"/>
    <w:rsid w:val="7E000EEA"/>
    <w:rsid w:val="7E121F5A"/>
    <w:rsid w:val="7E4C0C1E"/>
    <w:rsid w:val="7E792209"/>
    <w:rsid w:val="7E8F7631"/>
    <w:rsid w:val="7EA33434"/>
    <w:rsid w:val="7EAC39FC"/>
    <w:rsid w:val="7F1073CA"/>
    <w:rsid w:val="7F4263C4"/>
    <w:rsid w:val="7F553010"/>
    <w:rsid w:val="7FB421FF"/>
    <w:rsid w:val="7FDD2E16"/>
    <w:rsid w:val="7FE34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3"/>
    <w:qFormat/>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3">
    <w:name w:val="heading 2"/>
    <w:basedOn w:val="1"/>
    <w:next w:val="1"/>
    <w:link w:val="3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5"/>
    <w:unhideWhenUsed/>
    <w:qFormat/>
    <w:uiPriority w:val="0"/>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16">
    <w:name w:val="Default Paragraph Font"/>
    <w:semiHidden/>
    <w:unhideWhenUsed/>
    <w:qFormat/>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First Indent"/>
    <w:basedOn w:val="6"/>
    <w:link w:val="37"/>
    <w:semiHidden/>
    <w:unhideWhenUsed/>
    <w:qFormat/>
    <w:uiPriority w:val="99"/>
    <w:pPr>
      <w:ind w:firstLine="420" w:firstLineChars="100"/>
    </w:pPr>
  </w:style>
  <w:style w:type="paragraph" w:styleId="6">
    <w:name w:val="Body Text"/>
    <w:basedOn w:val="1"/>
    <w:next w:val="1"/>
    <w:link w:val="32"/>
    <w:unhideWhenUsed/>
    <w:qFormat/>
    <w:uiPriority w:val="0"/>
    <w:pPr>
      <w:spacing w:after="120"/>
    </w:pPr>
  </w:style>
  <w:style w:type="paragraph" w:styleId="7">
    <w:name w:val="Normal Indent"/>
    <w:basedOn w:val="1"/>
    <w:qFormat/>
    <w:uiPriority w:val="0"/>
    <w:pPr>
      <w:spacing w:line="360" w:lineRule="auto"/>
      <w:ind w:firstLine="420" w:firstLineChars="200"/>
    </w:pPr>
    <w:rPr>
      <w:sz w:val="24"/>
    </w:rPr>
  </w:style>
  <w:style w:type="paragraph" w:styleId="8">
    <w:name w:val="Plain Text"/>
    <w:basedOn w:val="1"/>
    <w:link w:val="30"/>
    <w:qFormat/>
    <w:uiPriority w:val="0"/>
    <w:rPr>
      <w:rFonts w:ascii="宋体" w:hAnsi="Courier New" w:cs="Courier New"/>
      <w:szCs w:val="21"/>
    </w:rPr>
  </w:style>
  <w:style w:type="paragraph" w:styleId="9">
    <w:name w:val="Date"/>
    <w:basedOn w:val="1"/>
    <w:next w:val="1"/>
    <w:link w:val="31"/>
    <w:semiHidden/>
    <w:unhideWhenUsed/>
    <w:qFormat/>
    <w:uiPriority w:val="99"/>
    <w:pPr>
      <w:ind w:left="100" w:leftChars="2500"/>
    </w:pPr>
  </w:style>
  <w:style w:type="paragraph" w:styleId="10">
    <w:name w:val="Balloon Text"/>
    <w:basedOn w:val="1"/>
    <w:link w:val="28"/>
    <w:semiHidden/>
    <w:unhideWhenUsed/>
    <w:qFormat/>
    <w:uiPriority w:val="99"/>
    <w:rPr>
      <w:sz w:val="18"/>
      <w:szCs w:val="18"/>
    </w:rPr>
  </w:style>
  <w:style w:type="paragraph" w:styleId="11">
    <w:name w:val="footer"/>
    <w:basedOn w:val="1"/>
    <w:link w:val="23"/>
    <w:qFormat/>
    <w:uiPriority w:val="0"/>
    <w:pPr>
      <w:tabs>
        <w:tab w:val="center" w:pos="4153"/>
        <w:tab w:val="right" w:pos="8306"/>
      </w:tabs>
      <w:snapToGrid w:val="0"/>
      <w:jc w:val="left"/>
    </w:pPr>
    <w:rPr>
      <w:rFonts w:asciiTheme="minorHAnsi" w:hAnsiTheme="minorHAnsi" w:cstheme="minorBidi"/>
      <w:sz w:val="18"/>
      <w:szCs w:val="18"/>
    </w:rPr>
  </w:style>
  <w:style w:type="paragraph" w:styleId="12">
    <w:name w:val="header"/>
    <w:basedOn w:val="1"/>
    <w:link w:val="27"/>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link w:val="26"/>
    <w:qFormat/>
    <w:uiPriority w:val="0"/>
    <w:pPr>
      <w:spacing w:after="120"/>
      <w:ind w:left="420" w:leftChars="200"/>
    </w:pPr>
    <w:rPr>
      <w:sz w:val="16"/>
      <w:szCs w:val="16"/>
      <w:lang w:val="zh-CN"/>
    </w:rPr>
  </w:style>
  <w:style w:type="paragraph" w:styleId="14">
    <w:name w:val="HTML Preformatted"/>
    <w:basedOn w:val="1"/>
    <w:link w:val="3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5">
    <w:name w:val="Normal (Web)"/>
    <w:basedOn w:val="1"/>
    <w:unhideWhenUsed/>
    <w:qFormat/>
    <w:uiPriority w:val="0"/>
    <w:pPr>
      <w:widowControl/>
      <w:spacing w:before="100" w:beforeAutospacing="1" w:after="100" w:afterAutospacing="1" w:line="432" w:lineRule="auto"/>
      <w:jc w:val="left"/>
    </w:pPr>
    <w:rPr>
      <w:rFonts w:ascii="宋体" w:hAnsi="宋体" w:cs="宋体"/>
      <w:kern w:val="0"/>
      <w:sz w:val="24"/>
    </w:rPr>
  </w:style>
  <w:style w:type="character" w:styleId="17">
    <w:name w:val="page number"/>
    <w:basedOn w:val="16"/>
    <w:qFormat/>
    <w:uiPriority w:val="0"/>
  </w:style>
  <w:style w:type="character" w:styleId="18">
    <w:name w:val="FollowedHyperlink"/>
    <w:basedOn w:val="16"/>
    <w:qFormat/>
    <w:uiPriority w:val="0"/>
    <w:rPr>
      <w:color w:val="800080" w:themeColor="followedHyperlink"/>
      <w:u w:val="single"/>
      <w14:textFill>
        <w14:solidFill>
          <w14:schemeClr w14:val="folHlink"/>
        </w14:solidFill>
      </w14:textFill>
    </w:rPr>
  </w:style>
  <w:style w:type="character" w:styleId="19">
    <w:name w:val="Hyperlink"/>
    <w:basedOn w:val="16"/>
    <w:qFormat/>
    <w:uiPriority w:val="0"/>
    <w:rPr>
      <w:color w:val="0000FF" w:themeColor="hyperlink"/>
      <w:u w:val="single"/>
      <w14:textFill>
        <w14:solidFill>
          <w14:schemeClr w14:val="hlink"/>
        </w14:solidFill>
      </w14:textFill>
    </w:rPr>
  </w:style>
  <w:style w:type="table" w:styleId="21">
    <w:name w:val="Table Grid"/>
    <w:basedOn w:val="20"/>
    <w:qFormat/>
    <w:uiPriority w:val="39"/>
    <w:rPr>
      <w:rFonts w:ascii="Calibri" w:hAnsi="Calibri" w:cs="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styleId="22">
    <w:name w:val="Table Theme"/>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3">
    <w:name w:val="页脚 字符"/>
    <w:link w:val="11"/>
    <w:qFormat/>
    <w:uiPriority w:val="0"/>
    <w:rPr>
      <w:rFonts w:eastAsia="宋体"/>
      <w:sz w:val="18"/>
      <w:szCs w:val="18"/>
    </w:rPr>
  </w:style>
  <w:style w:type="character" w:customStyle="1" w:styleId="24">
    <w:name w:val="页脚 Char1"/>
    <w:basedOn w:val="16"/>
    <w:semiHidden/>
    <w:qFormat/>
    <w:uiPriority w:val="99"/>
    <w:rPr>
      <w:rFonts w:ascii="Times New Roman" w:hAnsi="Times New Roman" w:eastAsia="宋体" w:cs="Times New Roman"/>
      <w:sz w:val="18"/>
      <w:szCs w:val="18"/>
    </w:rPr>
  </w:style>
  <w:style w:type="paragraph" w:styleId="25">
    <w:name w:val="List Paragraph"/>
    <w:basedOn w:val="1"/>
    <w:qFormat/>
    <w:uiPriority w:val="0"/>
    <w:pPr>
      <w:ind w:firstLine="420" w:firstLineChars="200"/>
    </w:pPr>
    <w:rPr>
      <w:rFonts w:ascii="Calibri" w:hAnsi="Calibri"/>
      <w:szCs w:val="22"/>
    </w:rPr>
  </w:style>
  <w:style w:type="character" w:customStyle="1" w:styleId="26">
    <w:name w:val="正文文本缩进 3 字符"/>
    <w:basedOn w:val="16"/>
    <w:link w:val="13"/>
    <w:qFormat/>
    <w:uiPriority w:val="0"/>
    <w:rPr>
      <w:rFonts w:ascii="Times New Roman" w:hAnsi="Times New Roman" w:eastAsia="宋体" w:cs="Times New Roman"/>
      <w:sz w:val="16"/>
      <w:szCs w:val="16"/>
      <w:lang w:val="zh-CN" w:eastAsia="zh-CN"/>
    </w:rPr>
  </w:style>
  <w:style w:type="character" w:customStyle="1" w:styleId="27">
    <w:name w:val="页眉 字符"/>
    <w:basedOn w:val="16"/>
    <w:link w:val="12"/>
    <w:qFormat/>
    <w:uiPriority w:val="99"/>
    <w:rPr>
      <w:rFonts w:ascii="Times New Roman" w:hAnsi="Times New Roman" w:eastAsia="宋体" w:cs="Times New Roman"/>
      <w:sz w:val="18"/>
      <w:szCs w:val="18"/>
    </w:rPr>
  </w:style>
  <w:style w:type="character" w:customStyle="1" w:styleId="28">
    <w:name w:val="批注框文本 字符"/>
    <w:basedOn w:val="16"/>
    <w:link w:val="10"/>
    <w:semiHidden/>
    <w:qFormat/>
    <w:uiPriority w:val="99"/>
    <w:rPr>
      <w:rFonts w:ascii="Times New Roman" w:hAnsi="Times New Roman" w:eastAsia="宋体" w:cs="Times New Roman"/>
      <w:sz w:val="18"/>
      <w:szCs w:val="18"/>
    </w:rPr>
  </w:style>
  <w:style w:type="paragraph" w:customStyle="1" w:styleId="29">
    <w:name w:val="列出段落1"/>
    <w:basedOn w:val="1"/>
    <w:qFormat/>
    <w:uiPriority w:val="0"/>
    <w:pPr>
      <w:ind w:firstLine="420" w:firstLineChars="200"/>
    </w:pPr>
    <w:rPr>
      <w:rFonts w:ascii="Calibri" w:hAnsi="Calibri"/>
      <w:szCs w:val="22"/>
    </w:rPr>
  </w:style>
  <w:style w:type="character" w:customStyle="1" w:styleId="30">
    <w:name w:val="纯文本 字符"/>
    <w:basedOn w:val="16"/>
    <w:link w:val="8"/>
    <w:qFormat/>
    <w:uiPriority w:val="0"/>
    <w:rPr>
      <w:rFonts w:ascii="宋体" w:hAnsi="Courier New" w:eastAsia="宋体" w:cs="Courier New"/>
      <w:szCs w:val="21"/>
    </w:rPr>
  </w:style>
  <w:style w:type="character" w:customStyle="1" w:styleId="31">
    <w:name w:val="日期 字符"/>
    <w:basedOn w:val="16"/>
    <w:link w:val="9"/>
    <w:semiHidden/>
    <w:qFormat/>
    <w:uiPriority w:val="99"/>
    <w:rPr>
      <w:rFonts w:ascii="Times New Roman" w:hAnsi="Times New Roman" w:eastAsia="宋体" w:cs="Times New Roman"/>
      <w:szCs w:val="24"/>
    </w:rPr>
  </w:style>
  <w:style w:type="character" w:customStyle="1" w:styleId="32">
    <w:name w:val="正文文本 字符"/>
    <w:basedOn w:val="16"/>
    <w:link w:val="6"/>
    <w:qFormat/>
    <w:uiPriority w:val="0"/>
    <w:rPr>
      <w:rFonts w:ascii="Times New Roman" w:hAnsi="Times New Roman" w:eastAsia="宋体" w:cs="Times New Roman"/>
      <w:szCs w:val="24"/>
    </w:rPr>
  </w:style>
  <w:style w:type="character" w:customStyle="1" w:styleId="33">
    <w:name w:val="标题 1 字符"/>
    <w:basedOn w:val="16"/>
    <w:link w:val="2"/>
    <w:qFormat/>
    <w:uiPriority w:val="9"/>
    <w:rPr>
      <w:b/>
      <w:bCs/>
      <w:kern w:val="44"/>
      <w:sz w:val="44"/>
      <w:szCs w:val="44"/>
    </w:rPr>
  </w:style>
  <w:style w:type="character" w:customStyle="1" w:styleId="34">
    <w:name w:val="标题 2 字符"/>
    <w:basedOn w:val="16"/>
    <w:link w:val="3"/>
    <w:qFormat/>
    <w:uiPriority w:val="0"/>
    <w:rPr>
      <w:rFonts w:asciiTheme="majorHAnsi" w:hAnsiTheme="majorHAnsi" w:eastAsiaTheme="majorEastAsia" w:cstheme="majorBidi"/>
      <w:b/>
      <w:bCs/>
      <w:sz w:val="32"/>
      <w:szCs w:val="32"/>
    </w:rPr>
  </w:style>
  <w:style w:type="character" w:customStyle="1" w:styleId="35">
    <w:name w:val="标题 3 字符"/>
    <w:basedOn w:val="16"/>
    <w:link w:val="4"/>
    <w:qFormat/>
    <w:uiPriority w:val="0"/>
    <w:rPr>
      <w:b/>
      <w:bCs/>
      <w:sz w:val="32"/>
      <w:szCs w:val="32"/>
    </w:rPr>
  </w:style>
  <w:style w:type="character" w:customStyle="1" w:styleId="36">
    <w:name w:val="HTML 预设格式 字符"/>
    <w:basedOn w:val="16"/>
    <w:link w:val="14"/>
    <w:qFormat/>
    <w:uiPriority w:val="99"/>
    <w:rPr>
      <w:rFonts w:ascii="宋体" w:hAnsi="宋体" w:eastAsia="宋体" w:cs="宋体"/>
      <w:kern w:val="0"/>
      <w:sz w:val="24"/>
      <w:szCs w:val="24"/>
    </w:rPr>
  </w:style>
  <w:style w:type="character" w:customStyle="1" w:styleId="37">
    <w:name w:val="正文文本首行缩进 字符"/>
    <w:basedOn w:val="32"/>
    <w:link w:val="5"/>
    <w:semiHidden/>
    <w:qFormat/>
    <w:uiPriority w:val="99"/>
    <w:rPr>
      <w:rFonts w:ascii="Times New Roman" w:hAnsi="Times New Roman" w:eastAsia="宋体" w:cs="Times New Roman"/>
      <w:szCs w:val="24"/>
    </w:rPr>
  </w:style>
  <w:style w:type="table" w:customStyle="1" w:styleId="38">
    <w:name w:val="网格型1"/>
    <w:basedOn w:val="2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39">
    <w:name w:val="网格型2"/>
    <w:basedOn w:val="20"/>
    <w:qFormat/>
    <w:uiPriority w:val="0"/>
    <w:pPr>
      <w:widowControl w:val="0"/>
      <w:jc w:val="both"/>
    </w:pPr>
    <w:rPr>
      <w:rFonts w:ascii="Calibri" w:hAnsi="Calibri"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40">
    <w:name w:val="正文文本首行缩进 21"/>
    <w:qFormat/>
    <w:uiPriority w:val="0"/>
    <w:pPr>
      <w:widowControl w:val="0"/>
      <w:ind w:left="200" w:leftChars="200" w:firstLine="20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2E92F0-0B74-4751-9189-52DD81D93FB6}">
  <ds:schemaRefs/>
</ds:datastoreItem>
</file>

<file path=docProps/app.xml><?xml version="1.0" encoding="utf-8"?>
<Properties xmlns="http://schemas.openxmlformats.org/officeDocument/2006/extended-properties" xmlns:vt="http://schemas.openxmlformats.org/officeDocument/2006/docPropsVTypes">
  <Template>Normal</Template>
  <Pages>13</Pages>
  <Words>1366</Words>
  <Characters>7787</Characters>
  <Lines>64</Lines>
  <Paragraphs>18</Paragraphs>
  <TotalTime>22</TotalTime>
  <ScaleCrop>false</ScaleCrop>
  <LinksUpToDate>false</LinksUpToDate>
  <CharactersWithSpaces>9135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2024-07-03T05:45:00Z</dcterms:created>
  <dc:creator>陈丽霞</dc:creator>
  <cp:lastModifiedBy>Administrator</cp:lastModifiedBy>
  <cp:lastPrinted>2024-07-03T03:29:00Z</cp:lastPrinted>
  <dcterms:modified xsi:type="dcterms:W3CDTF">2024-07-03T06:46:36Z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E24D306731A2438EA03B2695FDA7A891_13</vt:lpwstr>
  </property>
</Properties>
</file>