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/>
          <w:sz w:val="24"/>
          <w:szCs w:val="24"/>
          <w:lang w:val="en-US" w:eastAsia="zh-CN"/>
        </w:rPr>
      </w:pPr>
      <w:r>
        <w:rPr>
          <w:rFonts w:hint="eastAsia" w:ascii="黑体" w:hAnsi="黑体" w:eastAsia="黑体"/>
          <w:sz w:val="24"/>
          <w:szCs w:val="24"/>
          <w:lang w:val="en-US" w:eastAsia="zh-CN"/>
        </w:rPr>
        <w:t>附件</w:t>
      </w:r>
      <w:r>
        <w:rPr>
          <w:rFonts w:hint="eastAsia" w:ascii="宋体" w:hAnsi="宋体" w:eastAsia="黑体"/>
          <w:sz w:val="24"/>
          <w:szCs w:val="24"/>
          <w:lang w:val="en-US" w:eastAsia="zh-CN"/>
        </w:rPr>
        <w:t>2</w:t>
      </w:r>
      <w:bookmarkStart w:id="0" w:name="_GoBack"/>
      <w:bookmarkEnd w:id="0"/>
    </w:p>
    <w:p>
      <w:pPr>
        <w:jc w:val="center"/>
        <w:rPr>
          <w:rFonts w:hint="default"/>
          <w:lang w:val="en-US" w:eastAsia="zh-CN"/>
        </w:rPr>
      </w:pPr>
      <w:r>
        <w:rPr>
          <w:rFonts w:hint="eastAsia" w:ascii="黑体" w:hAnsi="黑体" w:eastAsia="黑体"/>
          <w:sz w:val="36"/>
          <w:szCs w:val="36"/>
          <w:lang w:val="en-US" w:eastAsia="zh-CN"/>
        </w:rPr>
        <w:t>富宁</w:t>
      </w:r>
      <w:r>
        <w:rPr>
          <w:rFonts w:hint="default" w:ascii="黑体" w:hAnsi="黑体" w:eastAsia="黑体"/>
          <w:sz w:val="36"/>
          <w:szCs w:val="36"/>
          <w:lang w:val="en-US" w:eastAsia="zh-CN"/>
        </w:rPr>
        <w:t>县综合应急救援队员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招录体能测试项目及标准</w:t>
      </w:r>
    </w:p>
    <w:tbl>
      <w:tblPr>
        <w:tblStyle w:val="6"/>
        <w:tblpPr w:leftFromText="180" w:rightFromText="180" w:vertAnchor="text" w:horzAnchor="page" w:tblpXSpec="center" w:tblpY="360"/>
        <w:tblOverlap w:val="never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5"/>
        <w:gridCol w:w="808"/>
        <w:gridCol w:w="808"/>
        <w:gridCol w:w="808"/>
        <w:gridCol w:w="808"/>
        <w:gridCol w:w="808"/>
        <w:gridCol w:w="808"/>
        <w:gridCol w:w="808"/>
        <w:gridCol w:w="808"/>
        <w:gridCol w:w="808"/>
        <w:gridCol w:w="950"/>
        <w:gridCol w:w="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935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项目</w:t>
            </w:r>
          </w:p>
        </w:tc>
        <w:tc>
          <w:tcPr>
            <w:tcW w:w="8222" w:type="dxa"/>
            <w:gridSpan w:val="10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体能测试成绩对应分值、测试办法</w:t>
            </w:r>
          </w:p>
        </w:tc>
        <w:tc>
          <w:tcPr>
            <w:tcW w:w="70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93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1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2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3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4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5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6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7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8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9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10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</w:t>
            </w:r>
          </w:p>
        </w:tc>
        <w:tc>
          <w:tcPr>
            <w:tcW w:w="7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3" w:hRule="atLeast"/>
          <w:jc w:val="center"/>
        </w:trPr>
        <w:tc>
          <w:tcPr>
            <w:tcW w:w="935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1000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米跑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（分、秒）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4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′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35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″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4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′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20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″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4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′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15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″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4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′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10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″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4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′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05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″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4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′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00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″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3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′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55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″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3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′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50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″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3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′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45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″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3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′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40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″</w:t>
            </w:r>
          </w:p>
        </w:tc>
        <w:tc>
          <w:tcPr>
            <w:tcW w:w="70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78" w:hRule="atLeast"/>
          <w:jc w:val="center"/>
        </w:trPr>
        <w:tc>
          <w:tcPr>
            <w:tcW w:w="93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8222" w:type="dxa"/>
            <w:gridSpan w:val="10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1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.分组考核。</w:t>
            </w:r>
          </w:p>
          <w:p>
            <w:pPr>
              <w:spacing w:line="240" w:lineRule="exact"/>
              <w:jc w:val="left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2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.在跑道或平地上标出起点线，考生从起点线处听到起跑口令后起跑，完成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1000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米距离到达终点线，记录时间。</w:t>
            </w:r>
          </w:p>
          <w:p>
            <w:pPr>
              <w:spacing w:line="240" w:lineRule="exact"/>
              <w:jc w:val="left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3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.考核以完成时间计算成绩。</w:t>
            </w:r>
          </w:p>
          <w:p>
            <w:pPr>
              <w:spacing w:line="240" w:lineRule="exact"/>
              <w:jc w:val="left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4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.得分超出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10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分的，每递减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5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秒增加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1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分，最高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15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分。</w:t>
            </w:r>
          </w:p>
        </w:tc>
        <w:tc>
          <w:tcPr>
            <w:tcW w:w="7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935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单杠引体向上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（次/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3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分钟）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—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702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1" w:hRule="atLeast"/>
          <w:jc w:val="center"/>
        </w:trPr>
        <w:tc>
          <w:tcPr>
            <w:tcW w:w="93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8222" w:type="dxa"/>
            <w:gridSpan w:val="10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1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.单个或分组考核。</w:t>
            </w:r>
          </w:p>
          <w:p>
            <w:pPr>
              <w:spacing w:line="240" w:lineRule="exact"/>
              <w:jc w:val="left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2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.按照规定动作要领完成动作。引体时下颌高于杠面、身体不得借助振浪或摆动、悬垂时双肘关节伸直；脚触及地面或立柱，结束考核。</w:t>
            </w:r>
          </w:p>
          <w:p>
            <w:pPr>
              <w:spacing w:line="240" w:lineRule="exact"/>
              <w:jc w:val="left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3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.考核以完成次数计算成绩。</w:t>
            </w:r>
          </w:p>
          <w:p>
            <w:pPr>
              <w:spacing w:line="240" w:lineRule="exact"/>
              <w:jc w:val="left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4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.得分超出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10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分的，每递增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1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次增加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1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分，最高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15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分。</w:t>
            </w:r>
          </w:p>
        </w:tc>
        <w:tc>
          <w:tcPr>
            <w:tcW w:w="7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935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俯卧撑</w:t>
            </w:r>
          </w:p>
          <w:p>
            <w:pPr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（次/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2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分钟）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6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8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38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default" w:ascii="黑体" w:hAnsi="黑体" w:eastAsia="黑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42</w:t>
            </w:r>
          </w:p>
        </w:tc>
        <w:tc>
          <w:tcPr>
            <w:tcW w:w="702" w:type="dxa"/>
            <w:vMerge w:val="restart"/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1" w:hRule="atLeast"/>
          <w:jc w:val="center"/>
        </w:trPr>
        <w:tc>
          <w:tcPr>
            <w:tcW w:w="935" w:type="dxa"/>
            <w:vMerge w:val="continue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8222" w:type="dxa"/>
            <w:gridSpan w:val="10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1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.单个或分组考核。</w:t>
            </w:r>
          </w:p>
          <w:p>
            <w:pPr>
              <w:spacing w:line="240" w:lineRule="exact"/>
              <w:jc w:val="left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2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.按照规定动作要领完成动作。屈臂时肩关节高于肘关节、伸臂时双肘关节未伸直、做动作时身体未保持平直，该次动作不计数；除手脚外身体其他部位触及地面，结束考核。</w:t>
            </w:r>
          </w:p>
          <w:p>
            <w:pPr>
              <w:spacing w:line="240" w:lineRule="exact"/>
              <w:jc w:val="left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3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.得分超出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10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分的，每递增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5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次增加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1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分，最高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15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分。</w:t>
            </w:r>
          </w:p>
        </w:tc>
        <w:tc>
          <w:tcPr>
            <w:tcW w:w="7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  <w:jc w:val="center"/>
        </w:trPr>
        <w:tc>
          <w:tcPr>
            <w:tcW w:w="935" w:type="dxa"/>
            <w:vMerge w:val="restart"/>
            <w:noWrap w:val="0"/>
            <w:vAlign w:val="center"/>
          </w:tcPr>
          <w:p>
            <w:pPr>
              <w:spacing w:line="240" w:lineRule="exact"/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100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米跑（秒）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17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″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3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16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″</w:t>
            </w: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1</w:t>
            </w: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5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″</w:t>
            </w: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15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″</w:t>
            </w: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15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″</w:t>
            </w: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15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″</w:t>
            </w: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0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14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″</w:t>
            </w: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14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″</w:t>
            </w: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14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″</w:t>
            </w: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950" w:type="dxa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13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″</w:t>
            </w:r>
            <w:r>
              <w:rPr>
                <w:rFonts w:hint="eastAsia" w:ascii="宋体" w:hAnsi="宋体" w:eastAsia="黑体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702" w:type="dxa"/>
            <w:vMerge w:val="restart"/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6" w:hRule="atLeast"/>
          <w:jc w:val="center"/>
        </w:trPr>
        <w:tc>
          <w:tcPr>
            <w:tcW w:w="935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  <w:tc>
          <w:tcPr>
            <w:tcW w:w="8222" w:type="dxa"/>
            <w:gridSpan w:val="10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1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.分组考核。</w:t>
            </w:r>
          </w:p>
          <w:p>
            <w:pPr>
              <w:spacing w:line="240" w:lineRule="exact"/>
              <w:jc w:val="left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2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.在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100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米长直线跑道上标出起点线和终点线，考生从起点线处听到起跑口令后起跑，通过终点线记录时间。</w:t>
            </w:r>
          </w:p>
          <w:p>
            <w:pPr>
              <w:spacing w:line="240" w:lineRule="exact"/>
              <w:jc w:val="left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3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.抢跑犯规，重新组织起跑；跑出本道或用其他方式干扰、阻碍他人者不记录成绩。</w:t>
            </w:r>
          </w:p>
          <w:p>
            <w:pPr>
              <w:spacing w:line="240" w:lineRule="exact"/>
              <w:jc w:val="left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4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.得分超出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10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分的，每递减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0</w:t>
            </w:r>
            <w:r>
              <w:rPr>
                <w:rFonts w:hint="eastAsia" w:ascii="黑体" w:hAnsi="黑体" w:eastAsia="黑体"/>
                <w:sz w:val="21"/>
                <w:szCs w:val="21"/>
              </w:rPr>
              <w:t xml:space="preserve">. 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3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秒增加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1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分，最高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15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分。</w:t>
            </w:r>
          </w:p>
        </w:tc>
        <w:tc>
          <w:tcPr>
            <w:tcW w:w="702" w:type="dxa"/>
            <w:vMerge w:val="continue"/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1" w:hRule="atLeast"/>
          <w:jc w:val="center"/>
        </w:trPr>
        <w:tc>
          <w:tcPr>
            <w:tcW w:w="935" w:type="dxa"/>
            <w:noWrap w:val="0"/>
            <w:vAlign w:val="center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黑体" w:hAnsi="黑体" w:eastAsia="黑体"/>
                <w:sz w:val="21"/>
                <w:szCs w:val="21"/>
              </w:rPr>
              <w:t>备注</w:t>
            </w:r>
          </w:p>
        </w:tc>
        <w:tc>
          <w:tcPr>
            <w:tcW w:w="8222" w:type="dxa"/>
            <w:gridSpan w:val="10"/>
            <w:noWrap w:val="0"/>
            <w:vAlign w:val="center"/>
          </w:tcPr>
          <w:p>
            <w:pPr>
              <w:spacing w:line="240" w:lineRule="exact"/>
              <w:jc w:val="left"/>
              <w:rPr>
                <w:rFonts w:ascii="黑体" w:hAnsi="黑体" w:eastAsia="黑体"/>
                <w:sz w:val="21"/>
                <w:szCs w:val="21"/>
              </w:rPr>
            </w:pPr>
            <w:r>
              <w:rPr>
                <w:rFonts w:hint="eastAsia" w:ascii="宋体" w:hAnsi="宋体" w:eastAsia="黑体"/>
                <w:sz w:val="21"/>
                <w:szCs w:val="21"/>
              </w:rPr>
              <w:t>1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.总成绩最高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60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分。</w:t>
            </w:r>
            <w:r>
              <w:rPr>
                <w:rFonts w:hint="eastAsia" w:ascii="宋体" w:hAnsi="宋体" w:eastAsia="黑体"/>
                <w:sz w:val="21"/>
                <w:szCs w:val="21"/>
              </w:rPr>
              <w:t>2</w:t>
            </w:r>
            <w:r>
              <w:rPr>
                <w:rFonts w:hint="eastAsia" w:ascii="黑体" w:hAnsi="黑体" w:eastAsia="黑体"/>
                <w:sz w:val="21"/>
                <w:szCs w:val="21"/>
              </w:rPr>
              <w:t>.测试项目及标准中“以上”“以下”均含本级、本数。</w:t>
            </w:r>
          </w:p>
        </w:tc>
        <w:tc>
          <w:tcPr>
            <w:tcW w:w="702" w:type="dxa"/>
            <w:noWrap w:val="0"/>
            <w:vAlign w:val="top"/>
          </w:tcPr>
          <w:p>
            <w:pPr>
              <w:jc w:val="center"/>
              <w:rPr>
                <w:rFonts w:ascii="黑体" w:hAnsi="黑体" w:eastAsia="黑体"/>
                <w:sz w:val="21"/>
                <w:szCs w:val="21"/>
              </w:rPr>
            </w:pPr>
          </w:p>
        </w:tc>
      </w:tr>
    </w:tbl>
    <w:p/>
    <w:p/>
    <w:sectPr>
      <w:footerReference r:id="rId3" w:type="default"/>
      <w:pgSz w:w="11906" w:h="16838"/>
      <w:pgMar w:top="2098" w:right="1474" w:bottom="1984" w:left="1587" w:header="851" w:footer="1417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  <w:rPr>
                              <w:rFonts w:ascii="宋体" w:hAnsi="宋体" w:eastAsia="宋体"/>
                              <w:sz w:val="28"/>
                            </w:rPr>
                          </w:pP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 xml:space="preserve">— 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begin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>1</w:t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fldChar w:fldCharType="end"/>
                          </w:r>
                          <w:r>
                            <w:rPr>
                              <w:rFonts w:ascii="宋体" w:hAnsi="宋体" w:eastAsia="宋体"/>
                              <w:sz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LNJWO7QAAAABQEAAA8AAAAAAAAA&#10;AQAgAAAAIgAAAGRycy9kb3ducmV2LnhtbFBLAQIUABQAAAAIAIdO4kArqOpyGQIAACEEAAAOAAAA&#10;AAAAAAEAIAAAAB8BAABkcnMvZTJvRG9jLnhtbFBLBQYAAAAABgAGAFkBAACqBQAAAAA=&#10;">
              <v:path/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  <w:rPr>
                        <w:rFonts w:ascii="宋体" w:hAnsi="宋体" w:eastAsia="宋体"/>
                        <w:sz w:val="28"/>
                      </w:rPr>
                    </w:pPr>
                    <w:r>
                      <w:rPr>
                        <w:rFonts w:ascii="宋体" w:hAnsi="宋体" w:eastAsia="宋体"/>
                        <w:sz w:val="28"/>
                      </w:rPr>
                      <w:t xml:space="preserve">— 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begin"/>
                    </w:r>
                    <w:r>
                      <w:rPr>
                        <w:rFonts w:ascii="宋体" w:hAnsi="宋体" w:eastAsia="宋体"/>
                        <w:sz w:val="28"/>
                      </w:rPr>
                      <w:instrText xml:space="preserve"> PAGE  \* MERGEFORMAT </w:instrTex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separate"/>
                    </w:r>
                    <w:r>
                      <w:rPr>
                        <w:rFonts w:ascii="宋体" w:hAnsi="宋体" w:eastAsia="宋体"/>
                        <w:sz w:val="28"/>
                      </w:rPr>
                      <w:t>1</w:t>
                    </w:r>
                    <w:r>
                      <w:rPr>
                        <w:rFonts w:ascii="宋体" w:hAnsi="宋体" w:eastAsia="宋体"/>
                        <w:sz w:val="28"/>
                      </w:rPr>
                      <w:fldChar w:fldCharType="end"/>
                    </w:r>
                    <w:r>
                      <w:rPr>
                        <w:rFonts w:ascii="宋体" w:hAnsi="宋体" w:eastAsia="宋体"/>
                        <w:sz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766C1F"/>
    <w:rsid w:val="60766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basedOn w:val="3"/>
    <w:next w:val="1"/>
    <w:qFormat/>
    <w:uiPriority w:val="0"/>
    <w:pPr>
      <w:widowControl w:val="0"/>
      <w:autoSpaceDE w:val="0"/>
      <w:autoSpaceDN w:val="0"/>
      <w:adjustRightInd w:val="0"/>
    </w:pPr>
    <w:rPr>
      <w:rFonts w:hint="eastAsia" w:ascii="方正小标宋_GBK" w:hAnsi="方正小标宋_GBK" w:eastAsia="方正小标宋_GBK"/>
      <w:color w:val="000000"/>
      <w:sz w:val="24"/>
      <w:szCs w:val="22"/>
      <w:lang w:val="en-US" w:eastAsia="zh-CN" w:bidi="ar-SA"/>
    </w:rPr>
  </w:style>
  <w:style w:type="paragraph" w:customStyle="1" w:styleId="3">
    <w:name w:val="正文1"/>
    <w:qFormat/>
    <w:uiPriority w:val="0"/>
    <w:pPr>
      <w:jc w:val="both"/>
    </w:pPr>
    <w:rPr>
      <w:rFonts w:ascii="Calibri" w:hAnsi="Calibri" w:eastAsia="宋体" w:cs="Times New Roman"/>
      <w:sz w:val="32"/>
      <w:szCs w:val="32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文山州富宁县党政机关单位</Company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Office_11.8.6.8810_F1E327BC-269C-435d-A152-05C5408002CA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2024-03-21T11:55:00Z</dcterms:created>
  <dc:creator>Administrator</dc:creator>
  <cp:lastModifiedBy>Administrator</cp:lastModifiedBy>
  <dcterms:modified xsi:type="dcterms:W3CDTF">2024-03-21T11:56:52Z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2052-11.8.6.8810</vt:lpwstr>
  </property>
</Properties>
</file>