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jc w:val="center"/>
      </w:pPr>
      <w:r>
        <w:rPr>
          <w:rFonts w:hint="eastAsia" w:ascii="宋体" w:hAnsi="宋体"/>
          <w:b/>
          <w:sz w:val="28"/>
          <w:szCs w:val="28"/>
        </w:rPr>
        <w:t>附件一：</w:t>
      </w:r>
      <w:r>
        <w:rPr>
          <w:rFonts w:hint="eastAsia"/>
          <w:b/>
          <w:bCs/>
          <w:sz w:val="28"/>
          <w:szCs w:val="28"/>
          <w:lang w:eastAsia="zh-CN"/>
        </w:rPr>
        <w:t>雨山区佳山乡</w:t>
      </w:r>
      <w:r>
        <w:rPr>
          <w:rFonts w:hint="eastAsia"/>
          <w:b/>
          <w:bCs/>
          <w:sz w:val="28"/>
          <w:szCs w:val="28"/>
        </w:rPr>
        <w:t>人民政府</w:t>
      </w:r>
      <w:r>
        <w:rPr>
          <w:rFonts w:hint="eastAsia"/>
          <w:b/>
          <w:bCs/>
          <w:sz w:val="28"/>
          <w:szCs w:val="28"/>
          <w:lang w:eastAsia="zh-CN"/>
        </w:rPr>
        <w:t>2023</w:t>
      </w:r>
      <w:r>
        <w:rPr>
          <w:rFonts w:hint="eastAsia"/>
          <w:b/>
          <w:bCs/>
          <w:sz w:val="28"/>
          <w:szCs w:val="28"/>
        </w:rPr>
        <w:t>年公开招聘村级后备干部岗位计划表</w:t>
      </w:r>
      <w:bookmarkStart w:id="0" w:name="_GoBack"/>
      <w:bookmarkEnd w:id="0"/>
    </w:p>
    <w:tbl>
      <w:tblPr>
        <w:tblStyle w:val="5"/>
        <w:tblW w:w="9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830"/>
        <w:gridCol w:w="794"/>
        <w:gridCol w:w="731"/>
        <w:gridCol w:w="1187"/>
        <w:gridCol w:w="1080"/>
        <w:gridCol w:w="4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18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default" w:eastAsia="微软雅黑"/>
                <w:b/>
                <w:bCs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0"/>
                <w:lang w:val="en-US" w:eastAsia="zh-CN"/>
              </w:rPr>
              <w:t>岗位名称</w:t>
            </w:r>
          </w:p>
        </w:tc>
        <w:tc>
          <w:tcPr>
            <w:tcW w:w="83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eastAsia" w:eastAsia="微软雅黑"/>
                <w:b/>
                <w:bCs/>
                <w:sz w:val="21"/>
                <w:szCs w:val="20"/>
                <w:lang w:eastAsia="zh-CN"/>
              </w:rPr>
            </w:pPr>
            <w:r>
              <w:rPr>
                <w:b/>
                <w:bCs/>
                <w:sz w:val="21"/>
                <w:szCs w:val="20"/>
              </w:rPr>
              <w:t>岗位</w:t>
            </w:r>
            <w:r>
              <w:rPr>
                <w:rFonts w:hint="eastAsia"/>
                <w:b/>
                <w:bCs/>
                <w:sz w:val="21"/>
                <w:szCs w:val="20"/>
                <w:lang w:val="en-US" w:eastAsia="zh-CN"/>
              </w:rPr>
              <w:t>代码</w:t>
            </w:r>
          </w:p>
        </w:tc>
        <w:tc>
          <w:tcPr>
            <w:tcW w:w="794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default" w:eastAsia="微软雅黑"/>
                <w:b/>
                <w:bCs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0"/>
                <w:lang w:val="en-US" w:eastAsia="zh-CN"/>
              </w:rPr>
              <w:t>招聘对象</w:t>
            </w:r>
          </w:p>
        </w:tc>
        <w:tc>
          <w:tcPr>
            <w:tcW w:w="731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  <w:r>
              <w:rPr>
                <w:b/>
                <w:bCs/>
                <w:sz w:val="21"/>
                <w:szCs w:val="20"/>
              </w:rPr>
              <w:t>人数</w:t>
            </w:r>
          </w:p>
        </w:tc>
        <w:tc>
          <w:tcPr>
            <w:tcW w:w="1187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eastAsia" w:eastAsia="微软雅黑"/>
                <w:b/>
                <w:bCs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0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  <w:r>
              <w:rPr>
                <w:rFonts w:hint="eastAsia"/>
                <w:b/>
                <w:bCs/>
                <w:sz w:val="21"/>
                <w:szCs w:val="20"/>
              </w:rPr>
              <w:t>年龄</w:t>
            </w:r>
          </w:p>
        </w:tc>
        <w:tc>
          <w:tcPr>
            <w:tcW w:w="4289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eastAsia" w:eastAsia="微软雅黑"/>
                <w:b/>
                <w:bCs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  <w:jc w:val="center"/>
        </w:trPr>
        <w:tc>
          <w:tcPr>
            <w:tcW w:w="818" w:type="dxa"/>
            <w:vMerge w:val="restart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rFonts w:hint="default" w:eastAsia="微软雅黑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  <w:lang w:val="en-US" w:eastAsia="zh-CN"/>
              </w:rPr>
              <w:t>村级后备干部</w:t>
            </w:r>
          </w:p>
        </w:tc>
        <w:tc>
          <w:tcPr>
            <w:tcW w:w="830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rFonts w:hint="default" w:eastAsia="微软雅黑"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sz w:val="21"/>
                <w:szCs w:val="20"/>
                <w:lang w:val="en-US" w:eastAsia="zh-CN"/>
              </w:rPr>
              <w:t>001</w:t>
            </w:r>
          </w:p>
        </w:tc>
        <w:tc>
          <w:tcPr>
            <w:tcW w:w="794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rFonts w:hint="default" w:eastAsia="微软雅黑"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sz w:val="21"/>
                <w:szCs w:val="20"/>
                <w:lang w:val="en-US" w:eastAsia="zh-CN"/>
              </w:rPr>
              <w:t>定向退役士兵</w:t>
            </w:r>
          </w:p>
        </w:tc>
        <w:tc>
          <w:tcPr>
            <w:tcW w:w="731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  <w:lang w:val="en-US" w:eastAsia="zh-CN"/>
              </w:rPr>
              <w:t>2</w:t>
            </w:r>
            <w:r>
              <w:rPr>
                <w:rFonts w:hint="eastAsia"/>
                <w:sz w:val="21"/>
                <w:szCs w:val="20"/>
              </w:rPr>
              <w:t>名</w:t>
            </w:r>
          </w:p>
        </w:tc>
        <w:tc>
          <w:tcPr>
            <w:tcW w:w="1187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rFonts w:hint="default" w:eastAsia="微软雅黑"/>
                <w:sz w:val="21"/>
                <w:szCs w:val="20"/>
                <w:lang w:val="en-US" w:eastAsia="zh-CN"/>
              </w:rPr>
            </w:pPr>
            <w:r>
              <w:rPr>
                <w:rFonts w:hint="default" w:eastAsia="微软雅黑"/>
                <w:sz w:val="21"/>
                <w:szCs w:val="20"/>
                <w:lang w:val="en-US" w:eastAsia="zh-CN"/>
              </w:rPr>
              <w:t>国民教育体系认可的大专（含）以上学历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1"/>
                <w:szCs w:val="20"/>
              </w:rPr>
            </w:pPr>
            <w:r>
              <w:rPr>
                <w:rFonts w:hint="eastAsia"/>
                <w:sz w:val="21"/>
                <w:szCs w:val="20"/>
              </w:rPr>
              <w:t>3</w:t>
            </w:r>
            <w:r>
              <w:rPr>
                <w:sz w:val="21"/>
                <w:szCs w:val="20"/>
              </w:rPr>
              <w:t>5</w:t>
            </w:r>
            <w:r>
              <w:rPr>
                <w:rFonts w:hint="eastAsia"/>
                <w:sz w:val="21"/>
                <w:szCs w:val="20"/>
              </w:rPr>
              <w:t>周岁以下</w:t>
            </w:r>
          </w:p>
        </w:tc>
        <w:tc>
          <w:tcPr>
            <w:tcW w:w="4289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both"/>
              <w:rPr>
                <w:rFonts w:hint="default"/>
                <w:sz w:val="21"/>
                <w:szCs w:val="20"/>
                <w:lang w:val="en-US" w:eastAsia="zh-CN"/>
              </w:rPr>
            </w:pPr>
            <w:r>
              <w:rPr>
                <w:rFonts w:hint="default"/>
                <w:sz w:val="21"/>
                <w:szCs w:val="20"/>
                <w:lang w:val="en-US" w:eastAsia="zh-CN"/>
              </w:rPr>
              <w:t>中央党校、省委党校学历可比照同等国民教育学历进行报考；技工院校高级工班毕业生可报名应聘学历要求为大学专科的岗位。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2" w:hRule="atLeast"/>
          <w:jc w:val="center"/>
        </w:trPr>
        <w:tc>
          <w:tcPr>
            <w:tcW w:w="818" w:type="dxa"/>
            <w:vMerge w:val="continue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eastAsia" w:eastAsia="微软雅黑"/>
                <w:b w:val="0"/>
                <w:bCs w:val="0"/>
                <w:sz w:val="21"/>
                <w:szCs w:val="20"/>
                <w:lang w:val="en-US" w:eastAsia="zh-CN"/>
              </w:rPr>
            </w:pPr>
          </w:p>
        </w:tc>
        <w:tc>
          <w:tcPr>
            <w:tcW w:w="83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default" w:eastAsia="微软雅黑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  <w:lang w:val="en-US" w:eastAsia="zh-CN"/>
              </w:rPr>
              <w:t>002</w:t>
            </w:r>
          </w:p>
        </w:tc>
        <w:tc>
          <w:tcPr>
            <w:tcW w:w="794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default" w:eastAsia="微软雅黑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  <w:lang w:val="en-US" w:eastAsia="zh-CN"/>
              </w:rPr>
              <w:t>定向应届毕业生</w:t>
            </w:r>
          </w:p>
        </w:tc>
        <w:tc>
          <w:tcPr>
            <w:tcW w:w="731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default" w:eastAsia="微软雅黑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  <w:lang w:val="en-US" w:eastAsia="zh-CN"/>
              </w:rPr>
              <w:t>1名</w:t>
            </w:r>
          </w:p>
        </w:tc>
        <w:tc>
          <w:tcPr>
            <w:tcW w:w="1187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default" w:eastAsia="微软雅黑"/>
                <w:b w:val="0"/>
                <w:bCs w:val="0"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  <w:lang w:val="en-US" w:eastAsia="zh-CN"/>
              </w:rPr>
              <w:t>全日制大专（含）以上学历</w:t>
            </w:r>
          </w:p>
        </w:tc>
        <w:tc>
          <w:tcPr>
            <w:tcW w:w="1080" w:type="dxa"/>
            <w:vMerge w:val="continue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 w:val="0"/>
                <w:bCs w:val="0"/>
                <w:sz w:val="21"/>
                <w:szCs w:val="20"/>
              </w:rPr>
            </w:pPr>
          </w:p>
        </w:tc>
        <w:tc>
          <w:tcPr>
            <w:tcW w:w="4289" w:type="dxa"/>
          </w:tcPr>
          <w:p>
            <w:pPr>
              <w:tabs>
                <w:tab w:val="left" w:pos="6015"/>
              </w:tabs>
              <w:spacing w:line="400" w:lineRule="exact"/>
              <w:jc w:val="left"/>
              <w:rPr>
                <w:rFonts w:hint="eastAsia"/>
                <w:b w:val="0"/>
                <w:bCs w:val="0"/>
                <w:sz w:val="21"/>
                <w:szCs w:val="20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</w:rPr>
              <w:t>应届毕业生包括：</w:t>
            </w:r>
          </w:p>
          <w:p>
            <w:pPr>
              <w:tabs>
                <w:tab w:val="left" w:pos="6015"/>
              </w:tabs>
              <w:spacing w:line="400" w:lineRule="exact"/>
              <w:jc w:val="left"/>
              <w:rPr>
                <w:rFonts w:hint="eastAsia"/>
                <w:b w:val="0"/>
                <w:bCs w:val="0"/>
                <w:sz w:val="21"/>
                <w:szCs w:val="20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</w:rPr>
              <w:t>1．纳入国家统招计划、被普通高等院校录取、持有省级教育主管部门颁发的普通高校毕业生就业报到证的2023年（含2022年10月1日后取得毕业证书）高校毕业生；</w:t>
            </w:r>
          </w:p>
          <w:p>
            <w:pPr>
              <w:tabs>
                <w:tab w:val="left" w:pos="6015"/>
              </w:tabs>
              <w:spacing w:line="400" w:lineRule="exact"/>
              <w:jc w:val="left"/>
              <w:rPr>
                <w:rFonts w:hint="eastAsia"/>
                <w:b w:val="0"/>
                <w:bCs w:val="0"/>
                <w:sz w:val="21"/>
                <w:szCs w:val="20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</w:rPr>
              <w:t>2．国家统一招生的2022年普通高校毕业生离校时和在择业期内（国家规定择业期为二年）未落实工作单位，其户口、档案、组织关系仍保留在原毕业学校，或保留在各级毕业生就业主管部门（毕业生就业指导服务中心）、各级人才交流服务机构和各级公共就业服务机构的毕业生；</w:t>
            </w:r>
          </w:p>
          <w:p>
            <w:pPr>
              <w:tabs>
                <w:tab w:val="left" w:pos="6015"/>
              </w:tabs>
              <w:spacing w:line="400" w:lineRule="exact"/>
              <w:jc w:val="left"/>
              <w:rPr>
                <w:rFonts w:hint="eastAsia"/>
                <w:b w:val="0"/>
                <w:bCs w:val="0"/>
                <w:sz w:val="21"/>
                <w:szCs w:val="20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</w:rPr>
              <w:t>3．参加“服务基层项目”前无工作经历的人员，服务期满且考核合格后2年内未就业的毕业生；</w:t>
            </w:r>
          </w:p>
          <w:p>
            <w:pPr>
              <w:tabs>
                <w:tab w:val="left" w:pos="6015"/>
              </w:tabs>
              <w:spacing w:line="400" w:lineRule="exact"/>
              <w:jc w:val="left"/>
              <w:rPr>
                <w:rFonts w:hint="eastAsia"/>
                <w:b w:val="0"/>
                <w:bCs w:val="0"/>
                <w:sz w:val="21"/>
                <w:szCs w:val="20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</w:rPr>
              <w:t>4．普通高等院校在校生或毕业当年入伍，退役后（含复学毕业）2年内未就业的退役士兵；</w:t>
            </w:r>
          </w:p>
          <w:p>
            <w:pPr>
              <w:tabs>
                <w:tab w:val="left" w:pos="6015"/>
              </w:tabs>
              <w:spacing w:line="400" w:lineRule="exact"/>
              <w:jc w:val="left"/>
              <w:rPr>
                <w:b w:val="0"/>
                <w:bCs w:val="0"/>
                <w:sz w:val="21"/>
                <w:szCs w:val="20"/>
              </w:rPr>
            </w:pPr>
            <w:r>
              <w:rPr>
                <w:rFonts w:hint="eastAsia"/>
                <w:b w:val="0"/>
                <w:bCs w:val="0"/>
                <w:sz w:val="21"/>
                <w:szCs w:val="20"/>
              </w:rPr>
              <w:t>5．2022年10月1日后取得国（境）外学位并完成教育部门学历认证的，未落实工作单位的留学回国人员。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818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eastAsia" w:eastAsia="微软雅黑"/>
                <w:b/>
                <w:bCs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0"/>
                <w:lang w:val="en-US" w:eastAsia="zh-CN"/>
              </w:rPr>
              <w:t>合计</w:t>
            </w:r>
          </w:p>
        </w:tc>
        <w:tc>
          <w:tcPr>
            <w:tcW w:w="83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</w:p>
        </w:tc>
        <w:tc>
          <w:tcPr>
            <w:tcW w:w="794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</w:p>
        </w:tc>
        <w:tc>
          <w:tcPr>
            <w:tcW w:w="731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rFonts w:hint="default"/>
                <w:b/>
                <w:bCs/>
                <w:sz w:val="21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0"/>
                <w:lang w:val="en-US" w:eastAsia="zh-CN"/>
              </w:rPr>
              <w:t>3名</w:t>
            </w:r>
          </w:p>
        </w:tc>
        <w:tc>
          <w:tcPr>
            <w:tcW w:w="1187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</w:p>
        </w:tc>
        <w:tc>
          <w:tcPr>
            <w:tcW w:w="4289" w:type="dxa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</w:p>
        </w:tc>
      </w:tr>
    </w:tbl>
    <w:p>
      <w:pPr>
        <w:tabs>
          <w:tab w:val="left" w:pos="6015"/>
        </w:tabs>
        <w:spacing w:line="460" w:lineRule="exact"/>
        <w:rPr>
          <w:rFonts w:hint="eastAsia" w:ascii="宋体" w:hAnsi="宋体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A0438"/>
    <w:rsid w:val="01DA0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940"/>
    </w:pPr>
    <w:rPr>
      <w:sz w:val="28"/>
      <w:szCs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2023-10-24T08:03:00Z</dcterms:created>
  <dc:creator>lucky star</dc:creator>
  <cp:lastModifiedBy>lucky star</cp:lastModifiedBy>
  <dcterms:modified xsi:type="dcterms:W3CDTF">2023-10-24T08:07:20Z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6E40C777AA44452BA9E98E3FD7C0158B</vt:lpwstr>
  </property>
</Properties>
</file>