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1"/>
          <w:szCs w:val="21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179060" cy="2851785"/>
            <wp:effectExtent l="0" t="0" r="2540" b="5715"/>
            <wp:docPr id="1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79060" cy="2851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1.A岗为普通岗位；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2.B岗为专项招聘“高校毕业生”岗位；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3.C岗为服务基层项目岗位。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64C7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www.anping.gov.cn/picture/0/1eb7a8fe73774962a2d5da10a16a0ca4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2022-10-14T01:52:39Z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0A67C46651954C91AEE5BC871081D86A</vt:lpwstr>
  </property>
</Properties>
</file>