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hint="eastAsia"/>
          <w:b w:val="0"/>
          <w:bCs/>
          <w:i w:val="0"/>
          <w:iCs w:val="0"/>
          <w:lang w:val="en-US" w:eastAsia="zh-CN"/>
        </w:rPr>
      </w:pPr>
      <w:r>
        <w:rPr>
          <w:rFonts w:hint="eastAsia"/>
          <w:b w:val="0"/>
          <w:bCs/>
          <w:i w:val="0"/>
          <w:iCs w:val="0"/>
          <w:lang w:eastAsia="zh-CN"/>
        </w:rPr>
        <w:t>附件</w:t>
      </w:r>
      <w:r>
        <w:rPr>
          <w:rFonts w:hint="eastAsia"/>
          <w:b w:val="0"/>
          <w:bCs/>
          <w:i w:val="0"/>
          <w:iCs w:val="0"/>
          <w:lang w:val="en-US" w:eastAsia="zh-CN"/>
        </w:rPr>
        <w:t>1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362" w:leftChars="20" w:hanging="1320" w:hangingChars="300"/>
        <w:jc w:val="center"/>
        <w:textAlignment w:val="auto"/>
        <w:rPr>
          <w:rFonts w:hint="default" w:ascii="Nimbus Roman No9 L" w:hAnsi="Nimbus Roman No9 L" w:eastAsia="方正小标宋简体" w:cs="Nimbus Roman No9 L"/>
          <w:sz w:val="44"/>
          <w:szCs w:val="44"/>
          <w:lang w:eastAsia="zh-CN"/>
        </w:rPr>
      </w:pPr>
      <w:r>
        <w:rPr>
          <w:rFonts w:hint="eastAsia" w:ascii="Nimbus Roman No9 L" w:hAnsi="Nimbus Roman No9 L" w:eastAsia="方正小标宋简体" w:cs="Nimbus Roman No9 L"/>
          <w:sz w:val="44"/>
          <w:szCs w:val="44"/>
          <w:lang w:eastAsia="zh-CN"/>
        </w:rPr>
        <w:t>来宾市</w:t>
      </w:r>
      <w:r>
        <w:rPr>
          <w:rFonts w:hint="eastAsia" w:ascii="Nimbus Roman No9 L" w:hAnsi="Nimbus Roman No9 L" w:eastAsia="方正小标宋简体" w:cs="Nimbus Roman No9 L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服务产业发展专项人才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计划”</w:t>
      </w:r>
      <w:r>
        <w:rPr>
          <w:rFonts w:hint="default" w:ascii="Nimbus Roman No9 L" w:hAnsi="Nimbus Roman No9 L" w:eastAsia="方正小标宋简体" w:cs="Nimbus Roman No9 L"/>
          <w:sz w:val="44"/>
          <w:szCs w:val="44"/>
          <w:lang w:eastAsia="zh-CN"/>
        </w:rPr>
        <w:t>需求表</w:t>
      </w:r>
    </w:p>
    <w:tbl>
      <w:tblPr>
        <w:tblStyle w:val="5"/>
        <w:tblpPr w:leftFromText="180" w:rightFromText="180" w:vertAnchor="text" w:horzAnchor="page" w:tblpX="1483" w:tblpY="434"/>
        <w:tblOverlap w:val="never"/>
        <w:tblW w:w="140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4910"/>
        <w:gridCol w:w="3075"/>
        <w:gridCol w:w="823"/>
        <w:gridCol w:w="4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tblHeader/>
        </w:trPr>
        <w:tc>
          <w:tcPr>
            <w:tcW w:w="9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需求专业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4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安排方向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9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strike w:val="0"/>
                <w:dstrike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作物栽培学与耕作学，作物遗传育种，农药学，种子科学与工程，植物科学与技术，特种经济动物饲养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市农业农村局及相关单位所属二层事业单位；安排到服务农业产业发展有关岗位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</w:trPr>
        <w:tc>
          <w:tcPr>
            <w:tcW w:w="9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工程管理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项目管理，工程造价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工程造价管理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市重大办、市三江口新区管委、市工业园区管委等相关单位及所属二层事业单位、市属企业；安排到服务工业发展、项目管理有关岗位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</w:trPr>
        <w:tc>
          <w:tcPr>
            <w:tcW w:w="9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发展经济学，区域经济学，财政学，金融学，产业经济学，经济学，数字经济，工业经济，投资经济，财政学，金融工程，投资学，经济与金融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熟悉招商引资、资本运作、产业转型升级的优先。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市发改委、市工信局、市投资促进局，市三江口新区管委、市工业园区管委等相关单位及二层事业单位、市属企业；安排到服务经济发展、招商引资、财政金融等有关岗位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9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土地资源管理，土地规划与利用，资源环境与城乡规划管理，城市规划与设计，城乡规划，城市规划，建筑学，土木工程，土木，水利与交通工程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市住建局、市自然资源局、市工业园区管委等相关单位所属二层事业单位、市属企业；安排到服务土地利用管理、城建规划、项目建设等有关岗位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9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电子科学与技术，电子信息科学与技术，信息与通信工程，大数据管理与应用，计算机应用技术，计算机科学与技术，计算机技术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市委网信办、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政务和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大数据发展局、市工业园区管委、市三江口新区管委等相关单位所属事业单位；安排到服务数字经济、电子信息产业发展等有关岗位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9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化学工程，化学工程与技术，化工与制药，化学工程与工艺，粉体材料科学与工程，制糖工程，林学，木材科学与工程，环境工程，环境科学与工程，大气科学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市三江口新区管委、市工业园区管委、市糖业发展局、市工信局、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市科技局、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市生态环境局等相关单位所属二层事业单位；安排到服务化工产业、高端碳酸钙产业、制糖综合利用等产业及生态环境保护有关岗位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4" w:hRule="atLeast"/>
        </w:trPr>
        <w:tc>
          <w:tcPr>
            <w:tcW w:w="9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企业管理、旅游管理、文化产业管理、国际经济与贸易、电子商务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1.熟悉大健康产业发展、旅游规划管理、旅游产业开发、文化创意和产品设计等的优先；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2.国际经济与贸易、电子商务专业分别要求具有外贸外资企业、电商企业1年以上工作经历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市文化广电和旅游局、市商务局等相关单位所属二层事业单位；安排到服务大健康产业发展、旅游产业发展、商贸服务业等有关岗位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4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textAlignment w:val="auto"/>
        <w:rPr>
          <w:rFonts w:hint="default"/>
          <w:lang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imbus Roman No9 L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990FC1"/>
    <w:rsid w:val="59990FC1"/>
    <w:rsid w:val="71C55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2022-07-02T13:14:00Z</dcterms:created>
  <dc:creator>sdff</dc:creator>
  <cp:lastModifiedBy>sdff</cp:lastModifiedBy>
  <dcterms:modified xsi:type="dcterms:W3CDTF">2022-07-02T13:14:54Z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D58DE86D68F84ADA96836F201EF19C71</vt:lpwstr>
  </property>
</Properties>
</file>