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附件1：选调岗位表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6"/>
        <w:gridCol w:w="601"/>
        <w:gridCol w:w="466"/>
        <w:gridCol w:w="526"/>
        <w:gridCol w:w="286"/>
        <w:gridCol w:w="766"/>
        <w:gridCol w:w="1051"/>
        <w:gridCol w:w="826"/>
        <w:gridCol w:w="2401"/>
        <w:gridCol w:w="286"/>
        <w:gridCol w:w="40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选调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选调计划数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报考人员身份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资格条件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是否面试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县城镇发展服务中心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专技岗(财务)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全额事业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1986年4月1日及以后出生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具有会计专业技术资格证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2017年4月1日前参加工作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(含2016年度及以前三支一扶、特岗、大学生村官)，且在本县工作已满三年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264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2022-03-29T03:03:14Z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38D4CC00A33045D5BC30205297210348</vt:lpwstr>
  </property>
</Properties>
</file>