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152" w:beforeAutospacing="0" w:after="0" w:afterAutospacing="0" w:line="480" w:lineRule="auto"/>
        <w:ind w:left="0" w:right="0" w:firstLine="440"/>
        <w:jc w:val="left"/>
      </w:pPr>
      <w:r>
        <w:rPr>
          <w:rFonts w:hint="eastAsia" w:ascii="宋体" w:hAnsi="宋体" w:eastAsia="宋体" w:cs="宋体"/>
          <w:color w:val="000000"/>
          <w:kern w:val="0"/>
          <w:sz w:val="22"/>
          <w:szCs w:val="22"/>
          <w:shd w:val="clear" w:fill="FFFFFF"/>
          <w:lang w:val="en-US" w:eastAsia="zh-CN" w:bidi="ar"/>
        </w:rPr>
        <w:t>业务条件和资格要求</w:t>
      </w:r>
    </w:p>
    <w:tbl>
      <w:tblPr>
        <w:tblW w:w="8521" w:type="dxa"/>
        <w:jc w:val="center"/>
        <w:tblInd w:w="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8"/>
        <w:gridCol w:w="3175"/>
        <w:gridCol w:w="40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</w:tblPrEx>
        <w:trPr>
          <w:jc w:val="center"/>
        </w:trPr>
        <w:tc>
          <w:tcPr>
            <w:tcW w:w="1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岗位</w:t>
            </w:r>
          </w:p>
        </w:tc>
        <w:tc>
          <w:tcPr>
            <w:tcW w:w="31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业务条件</w:t>
            </w:r>
          </w:p>
        </w:tc>
        <w:tc>
          <w:tcPr>
            <w:tcW w:w="400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资格要求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5" w:hRule="atLeast"/>
          <w:jc w:val="center"/>
        </w:trPr>
        <w:tc>
          <w:tcPr>
            <w:tcW w:w="133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专业技术岗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具有较高的研究水平，较强的文字能力、组织协调和沟通能力。</w:t>
            </w:r>
          </w:p>
        </w:tc>
        <w:tc>
          <w:tcPr>
            <w:tcW w:w="40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40岁以下；具有3年以上党政机关或研究机构工作经历；具有副高及以上专业技术职称或博士学位。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Times New Roman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433B3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333333"/>
      <w:u w:val="none"/>
    </w:rPr>
  </w:style>
  <w:style w:type="character" w:styleId="4">
    <w:name w:val="Hyperlink"/>
    <w:basedOn w:val="2"/>
    <w:uiPriority w:val="0"/>
    <w:rPr>
      <w:color w:val="333333"/>
      <w:u w:val="none"/>
    </w:rPr>
  </w:style>
  <w:style w:type="character" w:customStyle="1" w:styleId="6">
    <w:name w:val="red"/>
    <w:basedOn w:val="2"/>
    <w:uiPriority w:val="0"/>
    <w:rPr>
      <w:b/>
      <w:color w:val="C81F1A"/>
    </w:rPr>
  </w:style>
  <w:style w:type="character" w:customStyle="1" w:styleId="7">
    <w:name w:val="red1"/>
    <w:basedOn w:val="2"/>
    <w:uiPriority w:val="0"/>
    <w:rPr>
      <w:b/>
      <w:color w:val="C81F1A"/>
    </w:rPr>
  </w:style>
  <w:style w:type="character" w:customStyle="1" w:styleId="8">
    <w:name w:val="red2"/>
    <w:basedOn w:val="2"/>
    <w:uiPriority w:val="0"/>
    <w:rPr>
      <w:color w:val="FF0000"/>
    </w:rPr>
  </w:style>
  <w:style w:type="character" w:customStyle="1" w:styleId="9">
    <w:name w:val="red3"/>
    <w:basedOn w:val="2"/>
    <w:uiPriority w:val="0"/>
    <w:rPr>
      <w:color w:val="FF0000"/>
    </w:rPr>
  </w:style>
  <w:style w:type="character" w:customStyle="1" w:styleId="10">
    <w:name w:val="red4"/>
    <w:basedOn w:val="2"/>
    <w:uiPriority w:val="0"/>
    <w:rPr>
      <w:color w:val="FF0000"/>
    </w:rPr>
  </w:style>
  <w:style w:type="character" w:customStyle="1" w:styleId="11">
    <w:name w:val="red5"/>
    <w:basedOn w:val="2"/>
    <w:uiPriority w:val="0"/>
    <w:rPr>
      <w:color w:val="FF0000"/>
    </w:rPr>
  </w:style>
  <w:style w:type="character" w:customStyle="1" w:styleId="12">
    <w:name w:val="more"/>
    <w:basedOn w:val="2"/>
    <w:uiPriority w:val="0"/>
  </w:style>
  <w:style w:type="character" w:customStyle="1" w:styleId="13">
    <w:name w:val="more1"/>
    <w:basedOn w:val="2"/>
    <w:uiPriority w:val="0"/>
  </w:style>
  <w:style w:type="character" w:customStyle="1" w:styleId="14">
    <w:name w:val="right"/>
    <w:basedOn w:val="2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2017-05-05T13:04:19Z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