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263" w:lineRule="atLeast"/>
        <w:ind w:left="0" w:right="0" w:firstLine="360"/>
        <w:jc w:val="both"/>
        <w:rPr>
          <w:rFonts w:ascii="Tahoma" w:hAnsi="Tahoma" w:eastAsia="Tahoma" w:cs="Tahoma"/>
          <w:b w:val="0"/>
          <w:i w:val="0"/>
          <w:caps w:val="0"/>
          <w:color w:val="4D4D4D"/>
          <w:spacing w:val="0"/>
          <w:sz w:val="17"/>
          <w:szCs w:val="17"/>
        </w:rPr>
      </w:pPr>
      <w:bookmarkStart w:id="0" w:name="_GoBack"/>
      <w:r>
        <w:rPr>
          <w:rFonts w:ascii="Tahoma" w:hAnsi="Tahoma" w:eastAsia="Tahoma" w:cs="Tahoma"/>
          <w:b/>
          <w:i w:val="0"/>
          <w:caps w:val="0"/>
          <w:color w:val="C71200"/>
          <w:spacing w:val="0"/>
          <w:sz w:val="17"/>
          <w:szCs w:val="17"/>
          <w:shd w:val="clear" w:fill="FFFFFF"/>
        </w:rPr>
        <w:t>2017年宁波市卫生计生委直属事业单位</w:t>
      </w:r>
      <w:r>
        <w:rPr>
          <w:rFonts w:hint="eastAsia" w:ascii="宋体" w:hAnsi="宋体" w:eastAsia="宋体" w:cs="宋体"/>
          <w:b w:val="0"/>
          <w:i w:val="0"/>
          <w:caps w:val="0"/>
          <w:color w:val="000000"/>
          <w:spacing w:val="0"/>
          <w:kern w:val="0"/>
          <w:sz w:val="18"/>
          <w:szCs w:val="18"/>
          <w:shd w:val="clear" w:fill="FFFFFF"/>
          <w:lang w:val="en-US" w:eastAsia="zh-CN" w:bidi="ar"/>
        </w:rPr>
        <w:t>招聘单位、岗位、人数、专业、学历和范围及资格条件</w:t>
      </w:r>
    </w:p>
    <w:bookmarkEnd w:id="0"/>
    <w:tbl>
      <w:tblPr>
        <w:tblW w:w="9545" w:type="dxa"/>
        <w:jc w:val="center"/>
        <w:tblInd w:w="-61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14"/>
        <w:gridCol w:w="499"/>
        <w:gridCol w:w="389"/>
        <w:gridCol w:w="2415"/>
        <w:gridCol w:w="2280"/>
        <w:gridCol w:w="555"/>
        <w:gridCol w:w="25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30" w:hRule="atLeast"/>
          <w:jc w:val="center"/>
        </w:trPr>
        <w:tc>
          <w:tcPr>
            <w:tcW w:w="814"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招聘</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单位</w:t>
            </w:r>
          </w:p>
        </w:tc>
        <w:tc>
          <w:tcPr>
            <w:tcW w:w="499" w:type="dxa"/>
            <w:tcBorders>
              <w:top w:val="single" w:color="000000" w:sz="8" w:space="0"/>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招聘</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岗位</w:t>
            </w:r>
          </w:p>
        </w:tc>
        <w:tc>
          <w:tcPr>
            <w:tcW w:w="389" w:type="dxa"/>
            <w:tcBorders>
              <w:top w:val="single" w:color="000000" w:sz="8" w:space="0"/>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人</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数</w:t>
            </w:r>
          </w:p>
        </w:tc>
        <w:tc>
          <w:tcPr>
            <w:tcW w:w="2415" w:type="dxa"/>
            <w:tcBorders>
              <w:top w:val="single" w:color="000000" w:sz="8" w:space="0"/>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岗位</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职责</w:t>
            </w:r>
          </w:p>
        </w:tc>
        <w:tc>
          <w:tcPr>
            <w:tcW w:w="2280" w:type="dxa"/>
            <w:tcBorders>
              <w:top w:val="single" w:color="000000" w:sz="8" w:space="0"/>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招聘专业及</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学历（学位）要求</w:t>
            </w:r>
          </w:p>
        </w:tc>
        <w:tc>
          <w:tcPr>
            <w:tcW w:w="555" w:type="dxa"/>
            <w:tcBorders>
              <w:top w:val="single" w:color="000000" w:sz="8" w:space="0"/>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招聘</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范围</w:t>
            </w:r>
          </w:p>
        </w:tc>
        <w:tc>
          <w:tcPr>
            <w:tcW w:w="2593" w:type="dxa"/>
            <w:tcBorders>
              <w:top w:val="single" w:color="000000" w:sz="8" w:space="0"/>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其他资格</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7" w:hRule="atLeast"/>
          <w:jc w:val="center"/>
        </w:trPr>
        <w:tc>
          <w:tcPr>
            <w:tcW w:w="814" w:type="dxa"/>
            <w:vMerge w:val="restart"/>
            <w:tcBorders>
              <w:top w:val="nil"/>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宁波市中医院(49名）</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tc>
        <w:tc>
          <w:tcPr>
            <w:tcW w:w="499"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临床</w:t>
            </w:r>
          </w:p>
        </w:tc>
        <w:tc>
          <w:tcPr>
            <w:tcW w:w="389"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33</w:t>
            </w:r>
          </w:p>
        </w:tc>
        <w:tc>
          <w:tcPr>
            <w:tcW w:w="2415"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各科日常诊断、治疗、教学、科研等工作</w:t>
            </w:r>
          </w:p>
        </w:tc>
        <w:tc>
          <w:tcPr>
            <w:tcW w:w="2280"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both"/>
            </w:pPr>
            <w:r>
              <w:rPr>
                <w:rFonts w:hint="eastAsia" w:ascii="宋体" w:hAnsi="宋体" w:eastAsia="宋体" w:cs="宋体"/>
                <w:b w:val="0"/>
                <w:i w:val="0"/>
                <w:caps w:val="0"/>
                <w:color w:val="000000"/>
                <w:spacing w:val="0"/>
                <w:kern w:val="0"/>
                <w:sz w:val="18"/>
                <w:szCs w:val="18"/>
                <w:lang w:val="en-US" w:eastAsia="zh-CN" w:bidi="ar"/>
              </w:rPr>
              <w:t>临床类（中医类）专业；</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硕士研究生、硕士及以上学历（学位），对有副高及以上职称的可放宽至本科、学士学历（学位）。</w:t>
            </w:r>
          </w:p>
        </w:tc>
        <w:tc>
          <w:tcPr>
            <w:tcW w:w="555" w:type="dxa"/>
            <w:vMerge w:val="restart"/>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全国</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 </w:t>
            </w:r>
          </w:p>
        </w:tc>
        <w:tc>
          <w:tcPr>
            <w:tcW w:w="2593" w:type="dxa"/>
            <w:vMerge w:val="restart"/>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符合下列条件之一：</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1、2017年全日制普通高校应届毕业生；</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2、历届毕业生，年龄35周岁及以下（其中具有副高及以上专业技术任职资格的年龄可放宽至45周岁及以下），其中临床、医技岗位要求已取得执业医生资格。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3" w:hRule="atLeast"/>
          <w:jc w:val="center"/>
        </w:trPr>
        <w:tc>
          <w:tcPr>
            <w:tcW w:w="814" w:type="dxa"/>
            <w:vMerge w:val="continue"/>
            <w:tcBorders>
              <w:top w:val="nil"/>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499"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医技</w:t>
            </w:r>
          </w:p>
        </w:tc>
        <w:tc>
          <w:tcPr>
            <w:tcW w:w="389"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4</w:t>
            </w:r>
          </w:p>
        </w:tc>
        <w:tc>
          <w:tcPr>
            <w:tcW w:w="2415"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各科日常诊断、教学、科研等工作</w:t>
            </w:r>
          </w:p>
        </w:tc>
        <w:tc>
          <w:tcPr>
            <w:tcW w:w="2280"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医技类专业；</w:t>
            </w:r>
            <w:r>
              <w:rPr>
                <w:rFonts w:hint="eastAsia" w:ascii="宋体" w:hAnsi="宋体" w:eastAsia="宋体" w:cs="宋体"/>
                <w:b w:val="0"/>
                <w:i w:val="0"/>
                <w:caps w:val="0"/>
                <w:color w:val="000000"/>
                <w:spacing w:val="0"/>
                <w:kern w:val="0"/>
                <w:sz w:val="18"/>
                <w:szCs w:val="18"/>
                <w:lang w:val="en-US" w:eastAsia="zh-CN" w:bidi="ar"/>
              </w:rPr>
              <w:br w:type="textWrapping"/>
            </w:r>
            <w:r>
              <w:rPr>
                <w:rFonts w:hint="eastAsia" w:ascii="宋体" w:hAnsi="宋体" w:eastAsia="宋体" w:cs="宋体"/>
                <w:b w:val="0"/>
                <w:i w:val="0"/>
                <w:caps w:val="0"/>
                <w:color w:val="000000"/>
                <w:spacing w:val="0"/>
                <w:kern w:val="0"/>
                <w:sz w:val="18"/>
                <w:szCs w:val="18"/>
                <w:lang w:val="en-US" w:eastAsia="zh-CN" w:bidi="ar"/>
              </w:rPr>
              <w:t>硕士研究生、硕士及以上学历（学位），对有副高及以上职称的可放宽至本科、学士学历（学位）。</w:t>
            </w:r>
          </w:p>
        </w:tc>
        <w:tc>
          <w:tcPr>
            <w:tcW w:w="555"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2593"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6" w:hRule="atLeast"/>
          <w:jc w:val="center"/>
        </w:trPr>
        <w:tc>
          <w:tcPr>
            <w:tcW w:w="814" w:type="dxa"/>
            <w:vMerge w:val="continue"/>
            <w:tcBorders>
              <w:top w:val="nil"/>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499"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推拿</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科</w:t>
            </w:r>
          </w:p>
        </w:tc>
        <w:tc>
          <w:tcPr>
            <w:tcW w:w="389"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1</w:t>
            </w:r>
          </w:p>
        </w:tc>
        <w:tc>
          <w:tcPr>
            <w:tcW w:w="2415"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承担较大体力劳动强度的临床推拿诊断和处理，适宜男性。</w:t>
            </w:r>
          </w:p>
        </w:tc>
        <w:tc>
          <w:tcPr>
            <w:tcW w:w="2280"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针灸推拿学专业；本科、学士及以上学历（学位）；</w:t>
            </w:r>
          </w:p>
        </w:tc>
        <w:tc>
          <w:tcPr>
            <w:tcW w:w="555"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2593" w:type="dxa"/>
            <w:vMerge w:val="restart"/>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2017年全日制普通高等院校应届毕业生</w:t>
            </w:r>
          </w:p>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6" w:hRule="atLeast"/>
          <w:jc w:val="center"/>
        </w:trPr>
        <w:tc>
          <w:tcPr>
            <w:tcW w:w="814" w:type="dxa"/>
            <w:vMerge w:val="continue"/>
            <w:tcBorders>
              <w:top w:val="nil"/>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499"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影像</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科</w:t>
            </w:r>
          </w:p>
        </w:tc>
        <w:tc>
          <w:tcPr>
            <w:tcW w:w="389"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2</w:t>
            </w:r>
          </w:p>
        </w:tc>
        <w:tc>
          <w:tcPr>
            <w:tcW w:w="2415"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参加常规X线、CT、MRI和介入治疗等各项工作，适宜男性。</w:t>
            </w:r>
          </w:p>
        </w:tc>
        <w:tc>
          <w:tcPr>
            <w:tcW w:w="2280"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医学影像学专业；本科、学士及以上学历（学位）；</w:t>
            </w:r>
          </w:p>
        </w:tc>
        <w:tc>
          <w:tcPr>
            <w:tcW w:w="555"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2593"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pPr>
              <w:rPr>
                <w:rFonts w:hint="default" w:ascii="Tahoma" w:hAnsi="Tahoma" w:eastAsia="Tahoma" w:cs="Tahoma"/>
                <w:b w:val="0"/>
                <w:i w:val="0"/>
                <w:caps w:val="0"/>
                <w:color w:val="4D4D4D"/>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6" w:hRule="atLeast"/>
          <w:jc w:val="center"/>
        </w:trPr>
        <w:tc>
          <w:tcPr>
            <w:tcW w:w="814" w:type="dxa"/>
            <w:vMerge w:val="continue"/>
            <w:tcBorders>
              <w:top w:val="nil"/>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499" w:type="dxa"/>
            <w:vMerge w:val="restart"/>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药剂</w:t>
            </w:r>
          </w:p>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科</w:t>
            </w:r>
          </w:p>
        </w:tc>
        <w:tc>
          <w:tcPr>
            <w:tcW w:w="389"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3</w:t>
            </w:r>
          </w:p>
        </w:tc>
        <w:tc>
          <w:tcPr>
            <w:tcW w:w="2415"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负责并参与中药的调配、核对、制剂、配发等工作。</w:t>
            </w:r>
          </w:p>
        </w:tc>
        <w:tc>
          <w:tcPr>
            <w:tcW w:w="2280"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中药学专业；本科、学士及以上学历（学位）；</w:t>
            </w:r>
          </w:p>
        </w:tc>
        <w:tc>
          <w:tcPr>
            <w:tcW w:w="555"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2593"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pPr>
              <w:rPr>
                <w:rFonts w:hint="default" w:ascii="Tahoma" w:hAnsi="Tahoma" w:eastAsia="Tahoma" w:cs="Tahoma"/>
                <w:b w:val="0"/>
                <w:i w:val="0"/>
                <w:caps w:val="0"/>
                <w:color w:val="4D4D4D"/>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6" w:hRule="atLeast"/>
          <w:jc w:val="center"/>
        </w:trPr>
        <w:tc>
          <w:tcPr>
            <w:tcW w:w="814" w:type="dxa"/>
            <w:vMerge w:val="continue"/>
            <w:tcBorders>
              <w:top w:val="nil"/>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499"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389"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1</w:t>
            </w:r>
          </w:p>
        </w:tc>
        <w:tc>
          <w:tcPr>
            <w:tcW w:w="2415"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负责药品保管、分发、处方调配工作。</w:t>
            </w:r>
          </w:p>
        </w:tc>
        <w:tc>
          <w:tcPr>
            <w:tcW w:w="2280"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药学专业；本科、学士及以上学历（学位）；</w:t>
            </w:r>
          </w:p>
        </w:tc>
        <w:tc>
          <w:tcPr>
            <w:tcW w:w="555"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2593"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pPr>
              <w:rPr>
                <w:rFonts w:hint="default" w:ascii="Tahoma" w:hAnsi="Tahoma" w:eastAsia="Tahoma" w:cs="Tahoma"/>
                <w:b w:val="0"/>
                <w:i w:val="0"/>
                <w:caps w:val="0"/>
                <w:color w:val="4D4D4D"/>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5" w:hRule="atLeast"/>
          <w:jc w:val="center"/>
        </w:trPr>
        <w:tc>
          <w:tcPr>
            <w:tcW w:w="814" w:type="dxa"/>
            <w:vMerge w:val="continue"/>
            <w:tcBorders>
              <w:top w:val="nil"/>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499"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护理</w:t>
            </w:r>
          </w:p>
        </w:tc>
        <w:tc>
          <w:tcPr>
            <w:tcW w:w="389"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center"/>
            </w:pPr>
            <w:r>
              <w:rPr>
                <w:rFonts w:hint="eastAsia" w:ascii="宋体" w:hAnsi="宋体" w:eastAsia="宋体" w:cs="宋体"/>
                <w:b w:val="0"/>
                <w:i w:val="0"/>
                <w:caps w:val="0"/>
                <w:color w:val="000000"/>
                <w:spacing w:val="0"/>
                <w:kern w:val="0"/>
                <w:sz w:val="18"/>
                <w:szCs w:val="18"/>
                <w:lang w:val="en-US" w:eastAsia="zh-CN" w:bidi="ar"/>
              </w:rPr>
              <w:t>5</w:t>
            </w:r>
          </w:p>
        </w:tc>
        <w:tc>
          <w:tcPr>
            <w:tcW w:w="2415"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承担护理技术操作规程，协助医生完成各项诊疗工作。</w:t>
            </w:r>
          </w:p>
        </w:tc>
        <w:tc>
          <w:tcPr>
            <w:tcW w:w="2280"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1" w:after="0" w:afterAutospacing="1" w:line="240" w:lineRule="atLeast"/>
              <w:ind w:left="0" w:right="0" w:firstLine="0"/>
              <w:jc w:val="left"/>
            </w:pPr>
            <w:r>
              <w:rPr>
                <w:rFonts w:hint="eastAsia" w:ascii="宋体" w:hAnsi="宋体" w:eastAsia="宋体" w:cs="宋体"/>
                <w:b w:val="0"/>
                <w:i w:val="0"/>
                <w:caps w:val="0"/>
                <w:color w:val="000000"/>
                <w:spacing w:val="0"/>
                <w:kern w:val="0"/>
                <w:sz w:val="18"/>
                <w:szCs w:val="18"/>
                <w:lang w:val="en-US" w:eastAsia="zh-CN" w:bidi="ar"/>
              </w:rPr>
              <w:t>护理学专业；大专及以上学历；</w:t>
            </w:r>
          </w:p>
        </w:tc>
        <w:tc>
          <w:tcPr>
            <w:tcW w:w="555"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4D4D4D"/>
                <w:spacing w:val="0"/>
                <w:sz w:val="17"/>
                <w:szCs w:val="17"/>
              </w:rPr>
            </w:pPr>
          </w:p>
        </w:tc>
        <w:tc>
          <w:tcPr>
            <w:tcW w:w="2593" w:type="dxa"/>
            <w:vMerge w:val="continue"/>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pPr>
              <w:rPr>
                <w:rFonts w:hint="default" w:ascii="Tahoma" w:hAnsi="Tahoma" w:eastAsia="Tahoma" w:cs="Tahoma"/>
                <w:b w:val="0"/>
                <w:i w:val="0"/>
                <w:caps w:val="0"/>
                <w:color w:val="4D4D4D"/>
                <w:spacing w:val="0"/>
                <w:sz w:val="17"/>
                <w:szCs w:val="17"/>
              </w:rPr>
            </w:pPr>
          </w:p>
        </w:tc>
      </w:tr>
    </w:tbl>
    <w:p>
      <w:pPr>
        <w:pStyle w:val="2"/>
        <w:keepNext w:val="0"/>
        <w:keepLines w:val="0"/>
        <w:widowControl/>
        <w:suppressLineNumbers w:val="0"/>
        <w:shd w:val="clear" w:fill="FFFFFF"/>
        <w:spacing w:before="0" w:beforeAutospacing="1" w:after="0" w:afterAutospacing="1" w:line="263" w:lineRule="atLeast"/>
        <w:ind w:left="0" w:right="0" w:firstLine="360"/>
        <w:jc w:val="both"/>
        <w:rPr>
          <w:rFonts w:hint="default" w:ascii="Tahoma" w:hAnsi="Tahoma" w:eastAsia="Tahoma" w:cs="Tahoma"/>
          <w:b w:val="0"/>
          <w:i w:val="0"/>
          <w:caps w:val="0"/>
          <w:color w:val="4D4D4D"/>
          <w:spacing w:val="0"/>
          <w:sz w:val="17"/>
          <w:szCs w:val="17"/>
        </w:rPr>
      </w:pPr>
      <w:r>
        <w:rPr>
          <w:rFonts w:hint="eastAsia" w:ascii="宋体" w:hAnsi="宋体" w:eastAsia="宋体" w:cs="宋体"/>
          <w:b w:val="0"/>
          <w:i w:val="0"/>
          <w:caps w:val="0"/>
          <w:color w:val="000000"/>
          <w:spacing w:val="0"/>
          <w:sz w:val="18"/>
          <w:szCs w:val="18"/>
          <w:shd w:val="clear" w:fill="FFFFFF"/>
        </w:rPr>
        <w:t>注：执业资格、职称的取得时间和年龄的计算截止时间均为公告发布之日。2017年全日制应届毕业生凭学校推荐表或学生证报名，且须于2017年</w:t>
      </w:r>
      <w:r>
        <w:rPr>
          <w:rFonts w:hint="default" w:ascii="Times New Roman" w:hAnsi="Times New Roman" w:eastAsia="宋体" w:cs="Times New Roman"/>
          <w:b w:val="0"/>
          <w:i w:val="0"/>
          <w:caps w:val="0"/>
          <w:color w:val="000000"/>
          <w:spacing w:val="0"/>
          <w:sz w:val="18"/>
          <w:szCs w:val="18"/>
          <w:shd w:val="clear" w:fill="FFFFFF"/>
        </w:rPr>
        <w:t>9</w:t>
      </w:r>
      <w:r>
        <w:rPr>
          <w:rFonts w:hint="eastAsia" w:ascii="宋体" w:hAnsi="宋体" w:eastAsia="宋体" w:cs="宋体"/>
          <w:b w:val="0"/>
          <w:i w:val="0"/>
          <w:caps w:val="0"/>
          <w:color w:val="000000"/>
          <w:spacing w:val="0"/>
          <w:sz w:val="18"/>
          <w:szCs w:val="18"/>
          <w:shd w:val="clear" w:fill="FFFFFF"/>
        </w:rPr>
        <w:t>月</w:t>
      </w:r>
      <w:r>
        <w:rPr>
          <w:rFonts w:hint="default" w:ascii="Times New Roman" w:hAnsi="Times New Roman" w:eastAsia="宋体" w:cs="Times New Roman"/>
          <w:b w:val="0"/>
          <w:i w:val="0"/>
          <w:caps w:val="0"/>
          <w:color w:val="000000"/>
          <w:spacing w:val="0"/>
          <w:sz w:val="18"/>
          <w:szCs w:val="18"/>
          <w:shd w:val="clear" w:fill="FFFFFF"/>
        </w:rPr>
        <w:t>30</w:t>
      </w:r>
      <w:r>
        <w:rPr>
          <w:rFonts w:hint="eastAsia" w:ascii="宋体" w:hAnsi="宋体" w:eastAsia="宋体" w:cs="宋体"/>
          <w:b w:val="0"/>
          <w:i w:val="0"/>
          <w:caps w:val="0"/>
          <w:color w:val="000000"/>
          <w:spacing w:val="0"/>
          <w:sz w:val="18"/>
          <w:szCs w:val="18"/>
          <w:shd w:val="clear" w:fill="FFFFFF"/>
        </w:rPr>
        <w:t>日前取得相应的学历、学位；留学归国境人员应聘时须提供教育部中国留学人员服务中心出具的境外学历、学位认证书，专业名称相似的以所学课程为准。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713E8E"/>
    <w:rsid w:val="06713E8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2017-02-08T08:34:00Z</dcterms:created>
  <dc:creator>ASUS</dc:creator>
  <cp:lastModifiedBy>ASUS</cp:lastModifiedBy>
  <dcterms:modified xsi:type="dcterms:W3CDTF">2017-02-08T08:35:30Z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