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bookmarkStart w:id="0" w:name="_GoBack"/>
      <w:r>
        <w:rPr>
          <w:rFonts w:hint="eastAsia" w:ascii="宋体" w:hAnsi="宋体" w:eastAsia="宋体" w:cs="宋体"/>
          <w:b w:val="0"/>
          <w:i w:val="0"/>
          <w:caps w:val="0"/>
          <w:color w:val="000000"/>
          <w:spacing w:val="0"/>
          <w:sz w:val="24"/>
          <w:szCs w:val="24"/>
          <w:shd w:val="clear" w:fill="FFFFFF"/>
        </w:rPr>
        <w:t>河南省体育局直属训练单位2016年度</w:t>
      </w:r>
    </w:p>
    <w:p>
      <w:pPr>
        <w:pStyle w:val="2"/>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考核招聘优秀运动员工作方案</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中共河南省委组织部、河南省人力资源和社会保障厅《河南省事业单位公开招聘工作规程》（豫人社〔2015〕55号）及河南省事业单位考核招聘工作规程等相关规定，结合河南省体育局直属训练单位2016年度优秀运动员招聘工作计划，在运动员编制和岗位空缺范围内，主要面向省运动队集训队考核招聘优秀运动员，工作方案如下。</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一、指导思想和工作原则</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以党的十八大、十八大以来历次全会精神和习近平总书记重要系列讲话精神为指导，认真贯彻落实《事业单位人事管理条例》和事业单位考核招聘有关规定，根据《河南省建设体育强省规划纲要（2013-2020年）》的目标任务，着眼于我省竞技体育长远发展和优秀运动队队伍建设，按照“公开、平等、竞争、择优”的原则，采用考核招聘的方式，招聘优秀竞技体育人才充实运动员队伍。</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二、组织领导</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核招聘工作在省人力资源和社会保障厅指导、监督下，在省体育局党组统一领导下，由省体育局直属各训练单位组织实施。省体育局各直属训练单位成立考核招聘工作领导小组，具体负责本单位的考核招聘工作。</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三、招聘计划与基本条件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省体育局系统各训练单位2016年度共计划考核招聘优秀运动员104人。</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应聘人员应具备以下基本条件：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（一）具有中华人民共和国国籍；</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（二）遵守宪法和法律；</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（三）具有良好的品行；</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（四）初中以上文化程度；</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（五）达到一级运动员以上等级水平；</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（六）年龄一般不超过22周岁（14周岁以下报名者，需监护人书面同意），个别项目成绩特别优秀的，年龄可适当放宽；</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（七）具备岗位所需的专业知识和技能；</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（八）适应岗位要求的身体条件，体检合格；</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（九）具备岗位所要求的专业及专项成绩要求。</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有下列情形之一的不得报名应聘：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（一）受到过刑事处罚或者涉嫌违法犯罪正在接受调查的人员；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（二）在各级各类比赛中弄虚作假、违反赛风赛纪和反兴奋剂相关规定的人员；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（三）严重违反运动队相关管理规定及纪律的人员。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四、招聘专业项目与具体报名资格条件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招聘专业项目与具体报名资格条件见附件一。</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五、招聘程序</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（一）公布招聘方案</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招聘工作方案在省人社厅网站公布。发布时间：2016年6日至14日。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（二）组织报名</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1.报名时间：2016年14日至20日。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2.报名地点：各招聘单位人事部门。</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3.报名时须提供本人身份证、毕业证、成绩证书原件和复印件。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4.如实填写《河南省体育局直属训练单位优秀运动员招聘报名表》1份（报名现场领表），每人限报1个岗位。</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5.单位地址与联系电话见附件二。</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（三）资格审查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省体育局及各直属训练单位根据申报专业项目岗位要求对报名人员进行资格审查。对符合条件的应聘者发放准考证。对应聘人员的资格审查工作，将贯穿考核招聘工作的全过程。应聘人员提供的证明材料及填报的信息如有不实之处，一经发现，随时取消应聘资格。</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（四）考核</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省体育局各直属训练单位成立考核测试专家组，根据所招聘的专业项目特点，确定考核内容和计分标准，包括专业基础知识、专项素质测试、专项身体素质测试、身体机能测试等内容。考核时间和地点由招聘单位另行通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（五）体检与考察</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根据考核成绩由高到低按岗位与应聘人数1:1的比例确定进入体检与考察人选。体检、考察不合格者，不再递补。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（六）审核确定拟聘用人选并公示</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体检和考察合格者,首先在各训练单位进行公示，公示无异议后报省体育局，省体育局党组研究确定拟聘用人员，并在省人社厅网站进行公示。公示期不少于7个工作日。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（七）办理聘用手续</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公示期满无异议的，按人事管理权限报上级审核，办理相关聘用手续。</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六、招聘纪律与监督</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核招聘工作严格执行河南省考核招聘工作相关规定和纪律，接受省人力资源和社会保障厅指导和监督。省体育局纪检、人事、竞体等部门对考核招聘工作进行全程监督。对违反考核招聘纪律的人员，一经查实，按有关规定予以严肃处理,保证考核招聘工作的公开、公平、公正。</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监督电话：0371—63861295（省体育局纪检监察室）</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0371—63862532（省体育局人事处）</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0371—69690289（省人社厅事业处）</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2016年12月6日</w:t>
      </w:r>
    </w:p>
    <w:p>
      <w:pPr>
        <w:pStyle w:val="2"/>
        <w:keepNext w:val="0"/>
        <w:keepLines w:val="0"/>
        <w:widowControl/>
        <w:suppressLineNumbers w:val="0"/>
        <w:spacing w:before="100" w:beforeAutospacing="0" w:after="100" w:afterAutospacing="0" w:line="600" w:lineRule="atLeast"/>
        <w:ind w:left="0" w:right="0"/>
        <w:jc w:val="center"/>
        <w:rPr>
          <w:rFonts w:hint="default" w:ascii="Times New Roman" w:hAnsi="Times New Roman" w:cs="Times New Roman"/>
          <w:sz w:val="21"/>
          <w:szCs w:val="21"/>
        </w:rPr>
      </w:pPr>
      <w:r>
        <w:rPr>
          <w:rFonts w:ascii="文星标宋" w:hAnsi="文星标宋" w:eastAsia="文星标宋" w:cs="文星标宋"/>
          <w:b w:val="0"/>
          <w:i w:val="0"/>
          <w:caps w:val="0"/>
          <w:color w:val="000000"/>
          <w:spacing w:val="0"/>
          <w:sz w:val="44"/>
          <w:szCs w:val="44"/>
          <w:shd w:val="clear" w:fill="FFFFFF"/>
        </w:rPr>
        <w:t>省体育局直属训练单位</w:t>
      </w:r>
      <w:r>
        <w:rPr>
          <w:rFonts w:hint="default" w:ascii="Times New Roman" w:hAnsi="Times New Roman" w:eastAsia="宋体" w:cs="Times New Roman"/>
          <w:b w:val="0"/>
          <w:i w:val="0"/>
          <w:caps w:val="0"/>
          <w:color w:val="000000"/>
          <w:spacing w:val="0"/>
          <w:sz w:val="44"/>
          <w:szCs w:val="44"/>
          <w:shd w:val="clear" w:fill="FFFFFF"/>
        </w:rPr>
        <w:t>2016</w:t>
      </w:r>
      <w:r>
        <w:rPr>
          <w:rFonts w:hint="default" w:ascii="文星标宋" w:hAnsi="文星标宋" w:eastAsia="文星标宋" w:cs="文星标宋"/>
          <w:b w:val="0"/>
          <w:i w:val="0"/>
          <w:caps w:val="0"/>
          <w:color w:val="000000"/>
          <w:spacing w:val="0"/>
          <w:sz w:val="44"/>
          <w:szCs w:val="44"/>
          <w:shd w:val="clear" w:fill="FFFFFF"/>
        </w:rPr>
        <w:t>年度招聘运动员计划</w:t>
      </w:r>
    </w:p>
    <w:bookmarkEnd w:id="0"/>
    <w:p>
      <w:pPr>
        <w:pStyle w:val="2"/>
        <w:keepNext w:val="0"/>
        <w:keepLines w:val="0"/>
        <w:widowControl/>
        <w:suppressLineNumbers w:val="0"/>
        <w:spacing w:before="100" w:beforeAutospacing="0" w:after="100" w:afterAutospacing="0" w:line="28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shd w:val="clear" w:fill="FFFFFF"/>
        </w:rPr>
        <w:t> </w:t>
      </w:r>
    </w:p>
    <w:tbl>
      <w:tblPr>
        <w:tblW w:w="9480" w:type="dxa"/>
        <w:jc w:val="center"/>
        <w:tblInd w:w="-47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564"/>
        <w:gridCol w:w="1600"/>
        <w:gridCol w:w="1366"/>
        <w:gridCol w:w="1155"/>
        <w:gridCol w:w="3821"/>
        <w:gridCol w:w="9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23" w:hRule="atLeast"/>
          <w:jc w:val="center"/>
        </w:trPr>
        <w:tc>
          <w:tcPr>
            <w:tcW w:w="56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ascii="仿宋_GB2312" w:hAnsi="Times New Roman" w:eastAsia="仿宋_GB2312" w:cs="仿宋_GB2312"/>
                <w:sz w:val="24"/>
                <w:szCs w:val="24"/>
              </w:rPr>
              <w:t>序号</w:t>
            </w:r>
          </w:p>
        </w:tc>
        <w:tc>
          <w:tcPr>
            <w:tcW w:w="160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招聘单位</w:t>
            </w:r>
          </w:p>
        </w:tc>
        <w:tc>
          <w:tcPr>
            <w:tcW w:w="1366"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招聘专业项目</w:t>
            </w:r>
          </w:p>
        </w:tc>
        <w:tc>
          <w:tcPr>
            <w:tcW w:w="115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firstLine="269"/>
              <w:jc w:val="both"/>
              <w:rPr>
                <w:rFonts w:hint="default" w:ascii="Times New Roman" w:hAnsi="Times New Roman" w:cs="Times New Roman"/>
                <w:sz w:val="21"/>
                <w:szCs w:val="21"/>
              </w:rPr>
            </w:pPr>
            <w:r>
              <w:rPr>
                <w:rFonts w:hint="eastAsia" w:ascii="仿宋_GB2312" w:hAnsi="Times New Roman" w:eastAsia="仿宋_GB2312" w:cs="仿宋_GB2312"/>
                <w:sz w:val="24"/>
                <w:szCs w:val="24"/>
              </w:rPr>
              <w:t>招聘人数</w:t>
            </w:r>
          </w:p>
        </w:tc>
        <w:tc>
          <w:tcPr>
            <w:tcW w:w="382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专项成绩要求</w:t>
            </w:r>
          </w:p>
        </w:tc>
        <w:tc>
          <w:tcPr>
            <w:tcW w:w="97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21" w:hRule="atLeast"/>
          <w:jc w:val="center"/>
        </w:trPr>
        <w:tc>
          <w:tcPr>
            <w:tcW w:w="56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1</w:t>
            </w:r>
          </w:p>
        </w:tc>
        <w:tc>
          <w:tcPr>
            <w:tcW w:w="1600"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省重竞技运动管理中心</w:t>
            </w:r>
            <w:r>
              <w:rPr>
                <w:rFonts w:hint="default" w:ascii="Times New Roman" w:hAnsi="Times New Roman" w:cs="Times New Roman"/>
                <w:sz w:val="24"/>
                <w:szCs w:val="24"/>
              </w:rPr>
              <w:t>(16</w:t>
            </w:r>
            <w:r>
              <w:rPr>
                <w:rFonts w:hint="eastAsia" w:ascii="仿宋_GB2312" w:hAnsi="Times New Roman" w:eastAsia="仿宋_GB2312" w:cs="仿宋_GB2312"/>
                <w:sz w:val="24"/>
                <w:szCs w:val="24"/>
              </w:rPr>
              <w:t>人</w:t>
            </w:r>
            <w:r>
              <w:rPr>
                <w:rFonts w:hint="default" w:ascii="Times New Roman" w:hAnsi="Times New Roman" w:cs="Times New Roman"/>
                <w:sz w:val="24"/>
                <w:szCs w:val="24"/>
              </w:rPr>
              <w:t>)</w:t>
            </w:r>
          </w:p>
        </w:tc>
        <w:tc>
          <w:tcPr>
            <w:tcW w:w="136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跆拳道</w:t>
            </w:r>
          </w:p>
        </w:tc>
        <w:tc>
          <w:tcPr>
            <w:tcW w:w="11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6</w:t>
            </w:r>
          </w:p>
        </w:tc>
        <w:tc>
          <w:tcPr>
            <w:tcW w:w="382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获得过全国锦标赛或冠军赛前八名；或全国青年锦标赛前二名；或高于全国青年锦标赛的分龄赛前三名</w:t>
            </w:r>
          </w:p>
        </w:tc>
        <w:tc>
          <w:tcPr>
            <w:tcW w:w="97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4</w:t>
            </w:r>
            <w:r>
              <w:rPr>
                <w:rFonts w:hint="eastAsia" w:ascii="仿宋_GB2312" w:hAnsi="Times New Roman" w:eastAsia="仿宋_GB2312" w:cs="仿宋_GB2312"/>
                <w:sz w:val="24"/>
                <w:szCs w:val="24"/>
              </w:rPr>
              <w:t>男</w:t>
            </w:r>
            <w:r>
              <w:rPr>
                <w:rFonts w:hint="default" w:ascii="Times New Roman" w:hAnsi="Times New Roman" w:cs="Times New Roman"/>
                <w:sz w:val="24"/>
                <w:szCs w:val="24"/>
              </w:rPr>
              <w:t>2</w:t>
            </w:r>
            <w:r>
              <w:rPr>
                <w:rFonts w:hint="eastAsia" w:ascii="仿宋_GB2312" w:hAnsi="Times New Roman" w:eastAsia="仿宋_GB2312" w:cs="仿宋_GB2312"/>
                <w:sz w:val="24"/>
                <w:szCs w:val="24"/>
              </w:rPr>
              <w:t>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21" w:hRule="atLeast"/>
          <w:jc w:val="center"/>
        </w:trPr>
        <w:tc>
          <w:tcPr>
            <w:tcW w:w="56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6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36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男子拳击</w:t>
            </w:r>
          </w:p>
        </w:tc>
        <w:tc>
          <w:tcPr>
            <w:tcW w:w="11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p>
        </w:tc>
        <w:tc>
          <w:tcPr>
            <w:tcW w:w="382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获得过全国锦标赛或冠军赛前八名；或全国青年锦标赛前二名；或高于全国青年锦标赛的分龄赛前三名</w:t>
            </w:r>
          </w:p>
        </w:tc>
        <w:tc>
          <w:tcPr>
            <w:tcW w:w="97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21" w:hRule="atLeast"/>
          <w:jc w:val="center"/>
        </w:trPr>
        <w:tc>
          <w:tcPr>
            <w:tcW w:w="56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6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36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女子拳击</w:t>
            </w:r>
          </w:p>
        </w:tc>
        <w:tc>
          <w:tcPr>
            <w:tcW w:w="11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3</w:t>
            </w:r>
          </w:p>
        </w:tc>
        <w:tc>
          <w:tcPr>
            <w:tcW w:w="382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获得过全国锦标赛或冠军赛前八名；或全国青年锦标赛前二名；或高于全国青年锦标赛的分龄赛前三名</w:t>
            </w:r>
          </w:p>
        </w:tc>
        <w:tc>
          <w:tcPr>
            <w:tcW w:w="97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21" w:hRule="atLeast"/>
          <w:jc w:val="center"/>
        </w:trPr>
        <w:tc>
          <w:tcPr>
            <w:tcW w:w="56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6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36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古典跤</w:t>
            </w:r>
          </w:p>
        </w:tc>
        <w:tc>
          <w:tcPr>
            <w:tcW w:w="11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p>
        </w:tc>
        <w:tc>
          <w:tcPr>
            <w:tcW w:w="382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获得过全国锦标赛或冠军赛前八名；或全国青年锦标赛前二名；或高于全国青年锦标赛的分龄赛前三名</w:t>
            </w:r>
          </w:p>
        </w:tc>
        <w:tc>
          <w:tcPr>
            <w:tcW w:w="97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21" w:hRule="atLeast"/>
          <w:jc w:val="center"/>
        </w:trPr>
        <w:tc>
          <w:tcPr>
            <w:tcW w:w="56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6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36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女子自由跤</w:t>
            </w:r>
          </w:p>
        </w:tc>
        <w:tc>
          <w:tcPr>
            <w:tcW w:w="11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p>
        </w:tc>
        <w:tc>
          <w:tcPr>
            <w:tcW w:w="382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获得过全国锦标赛或冠军赛前八名；或全国青年锦标赛前二名；或高于全国青年锦标赛的分龄赛前三名</w:t>
            </w:r>
          </w:p>
        </w:tc>
        <w:tc>
          <w:tcPr>
            <w:tcW w:w="97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9" w:hRule="atLeast"/>
          <w:jc w:val="center"/>
        </w:trPr>
        <w:tc>
          <w:tcPr>
            <w:tcW w:w="56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60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36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女子举重</w:t>
            </w:r>
          </w:p>
        </w:tc>
        <w:tc>
          <w:tcPr>
            <w:tcW w:w="115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1</w:t>
            </w:r>
          </w:p>
        </w:tc>
        <w:tc>
          <w:tcPr>
            <w:tcW w:w="382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获得过全国锦标赛或冠军赛前八名；或全国青年锦标赛前二名；或高于全国青年锦标赛的分龄赛前三名</w:t>
            </w:r>
          </w:p>
        </w:tc>
        <w:tc>
          <w:tcPr>
            <w:tcW w:w="97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w:t>
            </w:r>
          </w:p>
        </w:tc>
      </w:tr>
    </w:tbl>
    <w:p>
      <w:pPr>
        <w:pStyle w:val="2"/>
        <w:keepNext w:val="0"/>
        <w:keepLines w:val="0"/>
        <w:widowControl/>
        <w:suppressLineNumbers w:val="0"/>
        <w:spacing w:before="0" w:beforeAutospacing="0" w:after="0" w:afterAutospacing="0" w:line="480"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bdr w:val="none" w:color="auto" w:sz="0" w:space="0"/>
          <w:shd w:val="clear" w:fill="FFFFFF"/>
        </w:rPr>
        <w:br w:type="page"/>
      </w:r>
      <w:r>
        <w:rPr>
          <w:rFonts w:hint="default" w:ascii="Times New Roman" w:hAnsi="Times New Roman" w:eastAsia="宋体" w:cs="Times New Roman"/>
          <w:b w:val="0"/>
          <w:i w:val="0"/>
          <w:caps w:val="0"/>
          <w:color w:val="000000"/>
          <w:spacing w:val="0"/>
          <w:sz w:val="21"/>
          <w:szCs w:val="21"/>
          <w:shd w:val="clear" w:fill="FFFFFF"/>
        </w:rPr>
        <w:t> </w:t>
      </w:r>
    </w:p>
    <w:tbl>
      <w:tblPr>
        <w:tblW w:w="8851" w:type="dxa"/>
        <w:jc w:val="center"/>
        <w:tblInd w:w="-16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638"/>
        <w:gridCol w:w="81"/>
        <w:gridCol w:w="9"/>
        <w:gridCol w:w="913"/>
        <w:gridCol w:w="9"/>
        <w:gridCol w:w="564"/>
        <w:gridCol w:w="697"/>
        <w:gridCol w:w="574"/>
        <w:gridCol w:w="516"/>
        <w:gridCol w:w="568"/>
        <w:gridCol w:w="2888"/>
        <w:gridCol w:w="548"/>
        <w:gridCol w:w="759"/>
        <w:gridCol w:w="37"/>
        <w:gridCol w:w="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gridAfter w:val="1"/>
          <w:wAfter w:w="50" w:type="dxa"/>
          <w:trHeight w:val="2468" w:hRule="atLeast"/>
          <w:jc w:val="center"/>
        </w:trPr>
        <w:tc>
          <w:tcPr>
            <w:tcW w:w="638"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both"/>
              <w:rPr>
                <w:rFonts w:hint="default" w:ascii="Times New Roman" w:hAnsi="Times New Roman" w:cs="Times New Roman"/>
                <w:sz w:val="21"/>
                <w:szCs w:val="21"/>
              </w:rPr>
            </w:pPr>
            <w:r>
              <w:rPr>
                <w:rFonts w:hint="default" w:ascii="Times New Roman" w:hAnsi="Times New Roman" w:cs="Times New Roman"/>
                <w:sz w:val="24"/>
                <w:szCs w:val="24"/>
              </w:rPr>
              <w:t>       </w:t>
            </w:r>
          </w:p>
          <w:p>
            <w:pPr>
              <w:pStyle w:val="2"/>
              <w:keepNext w:val="0"/>
              <w:keepLines w:val="0"/>
              <w:widowControl/>
              <w:suppressLineNumbers w:val="0"/>
              <w:spacing w:before="0" w:beforeAutospacing="0" w:after="0" w:afterAutospacing="0" w:line="500" w:lineRule="atLeast"/>
              <w:ind w:left="240" w:right="0" w:hanging="240"/>
              <w:jc w:val="both"/>
              <w:rPr>
                <w:rFonts w:hint="default" w:ascii="Times New Roman" w:hAnsi="Times New Roman" w:cs="Times New Roman"/>
                <w:sz w:val="21"/>
                <w:szCs w:val="21"/>
              </w:rPr>
            </w:pPr>
            <w:r>
              <w:rPr>
                <w:rFonts w:hint="default" w:ascii="Times New Roman" w:hAnsi="Times New Roman" w:cs="Times New Roman"/>
                <w:sz w:val="24"/>
                <w:szCs w:val="24"/>
              </w:rPr>
              <w:t>     </w:t>
            </w:r>
            <w:r>
              <w:rPr>
                <w:rFonts w:hint="default" w:ascii="Times New Roman" w:hAnsi="Times New Roman" w:cs="Times New Roman"/>
                <w:color w:val="000000"/>
                <w:sz w:val="24"/>
                <w:szCs w:val="24"/>
              </w:rPr>
              <w:t>2</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003" w:type="dxa"/>
            <w:gridSpan w:val="3"/>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4"/>
                <w:szCs w:val="24"/>
              </w:rPr>
              <w:t>省射击运动</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4"/>
                <w:szCs w:val="24"/>
              </w:rPr>
              <w:t>管理中心</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(13</w:t>
            </w:r>
            <w:r>
              <w:rPr>
                <w:rFonts w:hint="eastAsia" w:ascii="仿宋_GB2312" w:hAnsi="Times New Roman" w:eastAsia="仿宋_GB2312" w:cs="仿宋_GB2312"/>
                <w:color w:val="000000"/>
                <w:sz w:val="24"/>
                <w:szCs w:val="24"/>
              </w:rPr>
              <w:t>人</w:t>
            </w:r>
            <w:r>
              <w:rPr>
                <w:rFonts w:hint="default" w:ascii="Times New Roman" w:hAnsi="Times New Roman" w:cs="Times New Roman"/>
                <w:color w:val="000000"/>
                <w:sz w:val="24"/>
                <w:szCs w:val="24"/>
              </w:rPr>
              <w:t>)</w:t>
            </w:r>
          </w:p>
        </w:tc>
        <w:tc>
          <w:tcPr>
            <w:tcW w:w="1270"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步枪</w:t>
            </w:r>
          </w:p>
        </w:tc>
        <w:tc>
          <w:tcPr>
            <w:tcW w:w="1090"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4</w:t>
            </w:r>
          </w:p>
        </w:tc>
        <w:tc>
          <w:tcPr>
            <w:tcW w:w="3456"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获得过全国射击射箭锦标赛、冠军赛、总决赛个人前十五名、团体前八名或获得过全国青少年射击射箭锦标赛（全运会项目）个人前三名、团体冠军</w:t>
            </w:r>
          </w:p>
        </w:tc>
        <w:tc>
          <w:tcPr>
            <w:tcW w:w="1344"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r>
              <w:rPr>
                <w:rFonts w:hint="eastAsia" w:ascii="仿宋_GB2312" w:hAnsi="Times New Roman" w:eastAsia="仿宋_GB2312" w:cs="仿宋_GB2312"/>
                <w:sz w:val="24"/>
                <w:szCs w:val="24"/>
              </w:rPr>
              <w:t>男</w:t>
            </w:r>
            <w:r>
              <w:rPr>
                <w:rFonts w:hint="default" w:ascii="Times New Roman" w:hAnsi="Times New Roman" w:cs="Times New Roman"/>
                <w:sz w:val="24"/>
                <w:szCs w:val="24"/>
              </w:rPr>
              <w:t>2</w:t>
            </w:r>
            <w:r>
              <w:rPr>
                <w:rFonts w:hint="eastAsia" w:ascii="仿宋_GB2312" w:hAnsi="Times New Roman" w:eastAsia="仿宋_GB2312" w:cs="仿宋_GB2312"/>
                <w:sz w:val="24"/>
                <w:szCs w:val="24"/>
              </w:rPr>
              <w:t>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50" w:type="dxa"/>
          <w:trHeight w:val="2468" w:hRule="atLeast"/>
          <w:jc w:val="center"/>
        </w:trPr>
        <w:tc>
          <w:tcPr>
            <w:tcW w:w="63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003" w:type="dxa"/>
            <w:gridSpan w:val="3"/>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0"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手枪慢射</w:t>
            </w:r>
          </w:p>
        </w:tc>
        <w:tc>
          <w:tcPr>
            <w:tcW w:w="109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p>
        </w:tc>
        <w:tc>
          <w:tcPr>
            <w:tcW w:w="345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获得过全国射击射箭锦标赛、冠军赛、总决赛个人前十五名、团体前八名或获得过全国青少年射击射箭锦标赛（全运会项目）个人前三名、团体冠军</w:t>
            </w:r>
          </w:p>
        </w:tc>
        <w:tc>
          <w:tcPr>
            <w:tcW w:w="1344"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50" w:type="dxa"/>
          <w:trHeight w:val="2468" w:hRule="atLeast"/>
          <w:jc w:val="center"/>
        </w:trPr>
        <w:tc>
          <w:tcPr>
            <w:tcW w:w="63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003" w:type="dxa"/>
            <w:gridSpan w:val="3"/>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0"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女子手枪</w:t>
            </w:r>
          </w:p>
        </w:tc>
        <w:tc>
          <w:tcPr>
            <w:tcW w:w="109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3</w:t>
            </w:r>
          </w:p>
        </w:tc>
        <w:tc>
          <w:tcPr>
            <w:tcW w:w="345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获得过全国射击射箭锦标赛、冠军赛、总决赛个人前十五名、团体前八名或获得过全国青少年射击射箭锦标赛（全运会项目）个人前三名、团体冠军</w:t>
            </w:r>
          </w:p>
        </w:tc>
        <w:tc>
          <w:tcPr>
            <w:tcW w:w="1344"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50" w:type="dxa"/>
          <w:trHeight w:val="2468" w:hRule="atLeast"/>
          <w:jc w:val="center"/>
        </w:trPr>
        <w:tc>
          <w:tcPr>
            <w:tcW w:w="63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003" w:type="dxa"/>
            <w:gridSpan w:val="3"/>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0"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飞碟多双向</w:t>
            </w:r>
          </w:p>
        </w:tc>
        <w:tc>
          <w:tcPr>
            <w:tcW w:w="109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p>
        </w:tc>
        <w:tc>
          <w:tcPr>
            <w:tcW w:w="345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获得过全国射击射箭锦标赛、冠军赛、总决赛个人前十五名、团体前八名或获得过全国青少年射击射箭锦标赛（全运会项目）个人前三名、团体冠军</w:t>
            </w:r>
          </w:p>
        </w:tc>
        <w:tc>
          <w:tcPr>
            <w:tcW w:w="1344"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firstLine="480"/>
              <w:jc w:val="both"/>
              <w:rPr>
                <w:rFonts w:hint="default" w:ascii="Times New Roman" w:hAnsi="Times New Roman" w:cs="Times New Roman"/>
                <w:sz w:val="21"/>
                <w:szCs w:val="21"/>
              </w:rPr>
            </w:pPr>
            <w:r>
              <w:rPr>
                <w:rFonts w:hint="default" w:ascii="Times New Roman" w:hAnsi="Times New Roman" w:cs="Times New Roman"/>
                <w:sz w:val="24"/>
                <w:szCs w:val="24"/>
              </w:rPr>
              <w:t>1</w:t>
            </w:r>
            <w:r>
              <w:rPr>
                <w:rFonts w:hint="eastAsia" w:ascii="仿宋_GB2312" w:hAnsi="Times New Roman" w:eastAsia="仿宋_GB2312" w:cs="仿宋_GB2312"/>
                <w:sz w:val="24"/>
                <w:szCs w:val="24"/>
              </w:rPr>
              <w:t>男</w:t>
            </w:r>
            <w:r>
              <w:rPr>
                <w:rFonts w:hint="default" w:ascii="Times New Roman" w:hAnsi="Times New Roman" w:cs="Times New Roman"/>
                <w:sz w:val="24"/>
                <w:szCs w:val="24"/>
              </w:rPr>
              <w:t>1</w:t>
            </w:r>
            <w:r>
              <w:rPr>
                <w:rFonts w:hint="eastAsia" w:ascii="仿宋_GB2312" w:hAnsi="Times New Roman" w:eastAsia="仿宋_GB2312" w:cs="仿宋_GB2312"/>
                <w:sz w:val="24"/>
                <w:szCs w:val="24"/>
              </w:rPr>
              <w:t>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50" w:type="dxa"/>
          <w:trHeight w:val="2468" w:hRule="atLeast"/>
          <w:jc w:val="center"/>
        </w:trPr>
        <w:tc>
          <w:tcPr>
            <w:tcW w:w="63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003" w:type="dxa"/>
            <w:gridSpan w:val="3"/>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0"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射箭</w:t>
            </w:r>
          </w:p>
        </w:tc>
        <w:tc>
          <w:tcPr>
            <w:tcW w:w="109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p>
        </w:tc>
        <w:tc>
          <w:tcPr>
            <w:tcW w:w="345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获得过全国射击射箭锦标赛、冠军赛、总决赛个人前十五名、团体前八名或获得过全国青少年射击射箭锦标赛（全运会项目）个人前三名、团体冠军</w:t>
            </w:r>
          </w:p>
        </w:tc>
        <w:tc>
          <w:tcPr>
            <w:tcW w:w="1344"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1</w:t>
            </w:r>
            <w:r>
              <w:rPr>
                <w:rFonts w:hint="eastAsia" w:ascii="仿宋_GB2312" w:hAnsi="Times New Roman" w:eastAsia="仿宋_GB2312" w:cs="仿宋_GB2312"/>
                <w:sz w:val="24"/>
                <w:szCs w:val="24"/>
              </w:rPr>
              <w:t>男</w:t>
            </w:r>
            <w:r>
              <w:rPr>
                <w:rFonts w:hint="default" w:ascii="Times New Roman" w:hAnsi="Times New Roman" w:cs="Times New Roman"/>
                <w:sz w:val="24"/>
                <w:szCs w:val="24"/>
              </w:rPr>
              <w:t>1</w:t>
            </w:r>
            <w:r>
              <w:rPr>
                <w:rFonts w:hint="eastAsia" w:ascii="仿宋_GB2312" w:hAnsi="Times New Roman" w:eastAsia="仿宋_GB2312" w:cs="仿宋_GB2312"/>
                <w:sz w:val="24"/>
                <w:szCs w:val="24"/>
              </w:rPr>
              <w:t>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1489" w:hRule="atLeast"/>
          <w:jc w:val="center"/>
        </w:trPr>
        <w:tc>
          <w:tcPr>
            <w:tcW w:w="719"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3</w:t>
            </w:r>
          </w:p>
        </w:tc>
        <w:tc>
          <w:tcPr>
            <w:tcW w:w="1495" w:type="dxa"/>
            <w:gridSpan w:val="4"/>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4"/>
                <w:szCs w:val="24"/>
              </w:rPr>
              <w:t>省水上运动管理中心（</w:t>
            </w:r>
            <w:r>
              <w:rPr>
                <w:rFonts w:hint="default" w:ascii="Times New Roman" w:hAnsi="Times New Roman" w:cs="Times New Roman"/>
                <w:color w:val="000000"/>
                <w:sz w:val="24"/>
                <w:szCs w:val="24"/>
              </w:rPr>
              <w:t>19</w:t>
            </w:r>
            <w:r>
              <w:rPr>
                <w:rFonts w:hint="eastAsia" w:ascii="仿宋_GB2312" w:hAnsi="Times New Roman" w:eastAsia="仿宋_GB2312" w:cs="仿宋_GB2312"/>
                <w:color w:val="000000"/>
                <w:sz w:val="24"/>
                <w:szCs w:val="24"/>
              </w:rPr>
              <w:t>人）</w:t>
            </w: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女子赛艇公开级</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5</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w:t>
            </w:r>
            <w:r>
              <w:rPr>
                <w:rFonts w:hint="eastAsia" w:ascii="仿宋_GB2312" w:hAnsi="Times New Roman" w:eastAsia="仿宋_GB2312" w:cs="仿宋_GB2312"/>
                <w:spacing w:val="20"/>
                <w:sz w:val="24"/>
                <w:szCs w:val="24"/>
              </w:rPr>
              <w:t>全国冠军赛、锦标赛前八名、全国青年锦标赛前三名、青年运动会前六名运动成绩</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89"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女子赛艇轻量级</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w:t>
            </w:r>
            <w:r>
              <w:rPr>
                <w:rFonts w:hint="eastAsia" w:ascii="仿宋_GB2312" w:hAnsi="Times New Roman" w:eastAsia="仿宋_GB2312" w:cs="仿宋_GB2312"/>
                <w:spacing w:val="20"/>
                <w:sz w:val="24"/>
                <w:szCs w:val="24"/>
              </w:rPr>
              <w:t>全国冠军赛、锦标赛前八名、全国青年锦标赛前三名、青年运动会前六名运动成绩</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89"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男子赛艇公开级</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6</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w:t>
            </w:r>
            <w:r>
              <w:rPr>
                <w:rFonts w:hint="eastAsia" w:ascii="仿宋_GB2312" w:hAnsi="Times New Roman" w:eastAsia="仿宋_GB2312" w:cs="仿宋_GB2312"/>
                <w:spacing w:val="20"/>
                <w:sz w:val="24"/>
                <w:szCs w:val="24"/>
              </w:rPr>
              <w:t>全国冠军赛、锦标赛前八名、全国青年锦标赛前三名、青年运动会前六名运动成绩</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男</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89"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男子皮划艇</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5</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w:t>
            </w:r>
            <w:r>
              <w:rPr>
                <w:rFonts w:hint="eastAsia" w:ascii="仿宋_GB2312" w:hAnsi="Times New Roman" w:eastAsia="仿宋_GB2312" w:cs="仿宋_GB2312"/>
                <w:spacing w:val="20"/>
                <w:sz w:val="24"/>
                <w:szCs w:val="24"/>
              </w:rPr>
              <w:t>全国冠军赛、锦标赛前八名、全国青年锦标赛前三名、青年运动会前六名运动成绩</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男</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89"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皮划艇激流回旋</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1</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w:t>
            </w:r>
            <w:r>
              <w:rPr>
                <w:rFonts w:hint="eastAsia" w:ascii="仿宋_GB2312" w:hAnsi="Times New Roman" w:eastAsia="仿宋_GB2312" w:cs="仿宋_GB2312"/>
                <w:spacing w:val="20"/>
                <w:sz w:val="24"/>
                <w:szCs w:val="24"/>
              </w:rPr>
              <w:t>全国冠军赛、锦标赛前八名、全国青年锦标赛前三名、青年运动会前六名运动成绩</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16" w:hRule="atLeast"/>
          <w:jc w:val="center"/>
        </w:trPr>
        <w:tc>
          <w:tcPr>
            <w:tcW w:w="719"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4</w:t>
            </w:r>
          </w:p>
        </w:tc>
        <w:tc>
          <w:tcPr>
            <w:tcW w:w="1495"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4"/>
                <w:szCs w:val="24"/>
              </w:rPr>
              <w:t>省自行车现代五项运动管理中心（</w:t>
            </w:r>
            <w:r>
              <w:rPr>
                <w:rFonts w:hint="default" w:ascii="Times New Roman" w:hAnsi="Times New Roman" w:cs="Times New Roman"/>
                <w:color w:val="000000"/>
                <w:sz w:val="24"/>
                <w:szCs w:val="24"/>
              </w:rPr>
              <w:t>6</w:t>
            </w:r>
            <w:r>
              <w:rPr>
                <w:rFonts w:hint="eastAsia" w:ascii="仿宋_GB2312" w:hAnsi="Times New Roman" w:eastAsia="仿宋_GB2312" w:cs="仿宋_GB2312"/>
                <w:color w:val="000000"/>
                <w:sz w:val="24"/>
                <w:szCs w:val="24"/>
              </w:rPr>
              <w:t>人）</w:t>
            </w: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自行车</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6</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获得过奥运会、亚运会比赛参赛资格者，或获得</w:t>
            </w:r>
            <w:r>
              <w:rPr>
                <w:rFonts w:hint="eastAsia" w:ascii="仿宋_GB2312" w:hAnsi="Times New Roman" w:eastAsia="仿宋_GB2312" w:cs="仿宋_GB2312"/>
                <w:color w:val="000000"/>
                <w:sz w:val="24"/>
                <w:szCs w:val="24"/>
              </w:rPr>
              <w:t>过洲际以上比赛前八名者；获得过全运会比赛前八名、青年运动会前三名者；获得过单项年度比赛成年锦标赛个人前三名、团体前四名者，冠军赛个人冠军、团体前两名者；获得过单项年度比赛青年锦标赛冠军者</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r>
              <w:rPr>
                <w:rFonts w:hint="eastAsia" w:ascii="仿宋_GB2312" w:hAnsi="Times New Roman" w:eastAsia="仿宋_GB2312" w:cs="仿宋_GB2312"/>
                <w:sz w:val="24"/>
                <w:szCs w:val="24"/>
              </w:rPr>
              <w:t>男</w:t>
            </w:r>
            <w:r>
              <w:rPr>
                <w:rFonts w:hint="default" w:ascii="Times New Roman" w:hAnsi="Times New Roman" w:cs="Times New Roman"/>
                <w:sz w:val="24"/>
                <w:szCs w:val="24"/>
              </w:rPr>
              <w:t>4</w:t>
            </w: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1347" w:hRule="atLeast"/>
          <w:jc w:val="center"/>
        </w:trPr>
        <w:tc>
          <w:tcPr>
            <w:tcW w:w="719"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5</w:t>
            </w:r>
          </w:p>
        </w:tc>
        <w:tc>
          <w:tcPr>
            <w:tcW w:w="1495" w:type="dxa"/>
            <w:gridSpan w:val="4"/>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省田径运动管理</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中心（</w:t>
            </w:r>
            <w:r>
              <w:rPr>
                <w:rFonts w:hint="default" w:ascii="Times New Roman" w:hAnsi="Times New Roman" w:cs="Times New Roman"/>
                <w:sz w:val="24"/>
                <w:szCs w:val="24"/>
              </w:rPr>
              <w:t>7</w:t>
            </w:r>
            <w:r>
              <w:rPr>
                <w:rFonts w:hint="eastAsia" w:ascii="仿宋_GB2312" w:hAnsi="Times New Roman" w:eastAsia="仿宋_GB2312" w:cs="仿宋_GB2312"/>
                <w:sz w:val="24"/>
                <w:szCs w:val="24"/>
              </w:rPr>
              <w:t>人）</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500"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短跑</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1</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获得过全国田径锦标赛、冠军赛前八名或全国青年锦标赛前八名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男</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64"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中长跑</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1</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获得过全国田径锦标赛、冠军赛前八名或全国青年锦标赛前八名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男</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04"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马拉松</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1</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获得过全国田径锦标赛、冠军赛前八名或全国青年锦标赛前八名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男</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88"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竞走</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3</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获得过全国田径锦标赛、冠军赛前八名或全国青年锦标赛前八名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r>
              <w:rPr>
                <w:rFonts w:hint="eastAsia" w:ascii="仿宋_GB2312" w:hAnsi="Times New Roman" w:eastAsia="仿宋_GB2312" w:cs="仿宋_GB2312"/>
                <w:sz w:val="24"/>
                <w:szCs w:val="24"/>
              </w:rPr>
              <w:t>男</w:t>
            </w:r>
            <w:r>
              <w:rPr>
                <w:rFonts w:hint="default" w:ascii="Times New Roman" w:hAnsi="Times New Roman" w:cs="Times New Roman"/>
                <w:sz w:val="24"/>
                <w:szCs w:val="24"/>
              </w:rPr>
              <w:t>1</w:t>
            </w: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26"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3000</w:t>
            </w:r>
            <w:r>
              <w:rPr>
                <w:rFonts w:hint="eastAsia" w:ascii="仿宋_GB2312" w:hAnsi="Times New Roman" w:eastAsia="仿宋_GB2312" w:cs="仿宋_GB2312"/>
                <w:sz w:val="24"/>
                <w:szCs w:val="24"/>
              </w:rPr>
              <w:t>米障碍</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1</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获得过全国田径锦标赛、冠军赛前八名或全国青年锦标赛前八名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9" w:hRule="atLeast"/>
          <w:jc w:val="center"/>
        </w:trPr>
        <w:tc>
          <w:tcPr>
            <w:tcW w:w="719"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6</w:t>
            </w:r>
          </w:p>
        </w:tc>
        <w:tc>
          <w:tcPr>
            <w:tcW w:w="1495" w:type="dxa"/>
            <w:gridSpan w:val="4"/>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省武术运动管理中心（</w:t>
            </w:r>
            <w:r>
              <w:rPr>
                <w:rFonts w:hint="default" w:ascii="Times New Roman" w:hAnsi="Times New Roman" w:cs="Times New Roman"/>
                <w:sz w:val="24"/>
                <w:szCs w:val="24"/>
              </w:rPr>
              <w:t>4</w:t>
            </w:r>
            <w:r>
              <w:rPr>
                <w:rFonts w:hint="eastAsia" w:ascii="仿宋_GB2312" w:hAnsi="Times New Roman" w:eastAsia="仿宋_GB2312" w:cs="仿宋_GB2312"/>
                <w:sz w:val="24"/>
                <w:szCs w:val="24"/>
              </w:rPr>
              <w:t>）</w:t>
            </w: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武术套路</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获得过全国武术套路锦标赛、冠军赛前九名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1048"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武术散打</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获得过全国武术散打锦标赛、冠军赛前三名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1</w:t>
            </w:r>
            <w:r>
              <w:rPr>
                <w:rFonts w:hint="eastAsia" w:ascii="仿宋_GB2312" w:hAnsi="Times New Roman" w:eastAsia="仿宋_GB2312" w:cs="仿宋_GB2312"/>
                <w:sz w:val="24"/>
                <w:szCs w:val="24"/>
              </w:rPr>
              <w:t>男</w:t>
            </w:r>
            <w:r>
              <w:rPr>
                <w:rFonts w:hint="default" w:ascii="Times New Roman" w:hAnsi="Times New Roman" w:cs="Times New Roman"/>
                <w:sz w:val="24"/>
                <w:szCs w:val="24"/>
              </w:rPr>
              <w:t>1</w:t>
            </w: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99" w:hRule="atLeast"/>
          <w:jc w:val="center"/>
        </w:trPr>
        <w:tc>
          <w:tcPr>
            <w:tcW w:w="719"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7</w:t>
            </w:r>
          </w:p>
        </w:tc>
        <w:tc>
          <w:tcPr>
            <w:tcW w:w="1495" w:type="dxa"/>
            <w:gridSpan w:val="4"/>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省球类运动管理中心（</w:t>
            </w:r>
            <w:r>
              <w:rPr>
                <w:rFonts w:hint="default" w:ascii="Times New Roman" w:hAnsi="Times New Roman" w:cs="Times New Roman"/>
                <w:sz w:val="24"/>
                <w:szCs w:val="24"/>
              </w:rPr>
              <w:t>25</w:t>
            </w:r>
            <w:r>
              <w:rPr>
                <w:rFonts w:hint="eastAsia" w:ascii="仿宋_GB2312" w:hAnsi="Times New Roman" w:eastAsia="仿宋_GB2312" w:cs="仿宋_GB2312"/>
                <w:sz w:val="24"/>
                <w:szCs w:val="24"/>
              </w:rPr>
              <w:t>人）</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篮球成年队</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5</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spacing w:val="-8"/>
                <w:sz w:val="24"/>
                <w:szCs w:val="24"/>
              </w:rPr>
              <w:t>获得过全国联赛（</w:t>
            </w:r>
            <w:r>
              <w:rPr>
                <w:rFonts w:hint="default" w:ascii="Times New Roman" w:hAnsi="Times New Roman" w:cs="Times New Roman"/>
                <w:spacing w:val="-8"/>
                <w:sz w:val="24"/>
                <w:szCs w:val="24"/>
              </w:rPr>
              <w:t>NBL</w:t>
            </w:r>
            <w:r>
              <w:rPr>
                <w:rFonts w:hint="eastAsia" w:ascii="仿宋_GB2312" w:hAnsi="Times New Roman" w:eastAsia="仿宋_GB2312" w:cs="仿宋_GB2312"/>
                <w:spacing w:val="-8"/>
                <w:sz w:val="24"/>
                <w:szCs w:val="24"/>
              </w:rPr>
              <w:t>）前三名或全国联赛（</w:t>
            </w:r>
            <w:r>
              <w:rPr>
                <w:rFonts w:hint="default" w:ascii="Times New Roman" w:hAnsi="Times New Roman" w:cs="Times New Roman"/>
                <w:spacing w:val="-8"/>
                <w:sz w:val="24"/>
                <w:szCs w:val="24"/>
              </w:rPr>
              <w:t>WCBA)</w:t>
            </w:r>
            <w:r>
              <w:rPr>
                <w:rFonts w:hint="eastAsia" w:ascii="仿宋_GB2312" w:hAnsi="Times New Roman" w:eastAsia="仿宋_GB2312" w:cs="仿宋_GB2312"/>
                <w:spacing w:val="-8"/>
                <w:sz w:val="24"/>
                <w:szCs w:val="24"/>
              </w:rPr>
              <w:t>前九名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3</w:t>
            </w:r>
            <w:r>
              <w:rPr>
                <w:rFonts w:hint="eastAsia" w:ascii="仿宋_GB2312" w:hAnsi="Times New Roman" w:eastAsia="仿宋_GB2312" w:cs="仿宋_GB2312"/>
                <w:sz w:val="24"/>
                <w:szCs w:val="24"/>
              </w:rPr>
              <w:t>男</w:t>
            </w:r>
            <w:r>
              <w:rPr>
                <w:rFonts w:hint="default" w:ascii="Times New Roman" w:hAnsi="Times New Roman" w:cs="Times New Roman"/>
                <w:sz w:val="24"/>
                <w:szCs w:val="24"/>
              </w:rPr>
              <w:t>2</w:t>
            </w: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99"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篮球青年队</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3</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  </w:t>
            </w:r>
            <w:r>
              <w:rPr>
                <w:rFonts w:hint="eastAsia" w:ascii="仿宋_GB2312" w:hAnsi="Times New Roman" w:eastAsia="仿宋_GB2312" w:cs="仿宋_GB2312"/>
                <w:sz w:val="24"/>
                <w:szCs w:val="24"/>
              </w:rPr>
              <w:t>获得过全国青年运动会前三名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1</w:t>
            </w:r>
            <w:r>
              <w:rPr>
                <w:rFonts w:hint="eastAsia" w:ascii="仿宋_GB2312" w:hAnsi="Times New Roman" w:eastAsia="仿宋_GB2312" w:cs="仿宋_GB2312"/>
                <w:sz w:val="24"/>
                <w:szCs w:val="24"/>
              </w:rPr>
              <w:t>男</w:t>
            </w:r>
            <w:r>
              <w:rPr>
                <w:rFonts w:hint="default" w:ascii="Times New Roman" w:hAnsi="Times New Roman" w:cs="Times New Roman"/>
                <w:sz w:val="24"/>
                <w:szCs w:val="24"/>
              </w:rPr>
              <w:t>2</w:t>
            </w: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99"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排球成年队</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获得过全国联赛前九名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99"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排球青年队</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6</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  </w:t>
            </w:r>
            <w:r>
              <w:rPr>
                <w:rFonts w:hint="eastAsia" w:ascii="仿宋_GB2312" w:hAnsi="Times New Roman" w:eastAsia="仿宋_GB2312" w:cs="仿宋_GB2312"/>
                <w:sz w:val="24"/>
                <w:szCs w:val="24"/>
              </w:rPr>
              <w:t>获得过全国青运会前二名或全国青年锦标赛前四名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3</w:t>
            </w:r>
            <w:r>
              <w:rPr>
                <w:rFonts w:hint="eastAsia" w:ascii="仿宋_GB2312" w:hAnsi="Times New Roman" w:eastAsia="仿宋_GB2312" w:cs="仿宋_GB2312"/>
                <w:sz w:val="24"/>
                <w:szCs w:val="24"/>
              </w:rPr>
              <w:t>男</w:t>
            </w:r>
            <w:r>
              <w:rPr>
                <w:rFonts w:hint="default" w:ascii="Times New Roman" w:hAnsi="Times New Roman" w:cs="Times New Roman"/>
                <w:sz w:val="24"/>
                <w:szCs w:val="24"/>
              </w:rPr>
              <w:t>3</w:t>
            </w: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99"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女足成年队</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   </w:t>
            </w:r>
            <w:r>
              <w:rPr>
                <w:rFonts w:hint="eastAsia" w:ascii="仿宋_GB2312" w:hAnsi="Times New Roman" w:eastAsia="仿宋_GB2312" w:cs="仿宋_GB2312"/>
                <w:sz w:val="24"/>
                <w:szCs w:val="24"/>
              </w:rPr>
              <w:t>获得过全国联赛前七名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999"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女足青年队</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3</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获得过全国青年联赛前五名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6"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棒球</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获得过全国锦标赛前七名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男</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3"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垒球</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获得过全国锦标赛或冠军赛前三名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95" w:hRule="atLeast"/>
          <w:jc w:val="center"/>
        </w:trPr>
        <w:tc>
          <w:tcPr>
            <w:tcW w:w="719"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8</w:t>
            </w:r>
          </w:p>
        </w:tc>
        <w:tc>
          <w:tcPr>
            <w:tcW w:w="1495" w:type="dxa"/>
            <w:gridSpan w:val="4"/>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olor w:val="000000"/>
                <w:sz w:val="24"/>
                <w:szCs w:val="24"/>
              </w:rPr>
              <w:t>省乒乓球网球运动管理中心（</w:t>
            </w:r>
            <w:r>
              <w:rPr>
                <w:rFonts w:hint="default" w:ascii="Times New Roman" w:hAnsi="Times New Roman" w:cs="Times New Roman"/>
                <w:color w:val="000000"/>
                <w:sz w:val="24"/>
                <w:szCs w:val="24"/>
              </w:rPr>
              <w:t>6</w:t>
            </w:r>
            <w:r>
              <w:rPr>
                <w:rFonts w:hint="eastAsia" w:ascii="仿宋_GB2312" w:hAnsi="Times New Roman" w:eastAsia="仿宋_GB2312" w:cs="仿宋_GB2312"/>
                <w:color w:val="000000"/>
                <w:sz w:val="24"/>
                <w:szCs w:val="24"/>
              </w:rPr>
              <w:t>人）</w:t>
            </w: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乒乓球</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4</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pacing w:val="-20"/>
                <w:sz w:val="24"/>
                <w:szCs w:val="24"/>
              </w:rPr>
              <w:t>获得过全国青年运动会团体前四名、单项前八名；全国</w:t>
            </w:r>
            <w:r>
              <w:rPr>
                <w:rFonts w:hint="default" w:ascii="Times New Roman" w:hAnsi="Times New Roman" w:cs="Times New Roman"/>
                <w:spacing w:val="-20"/>
                <w:sz w:val="24"/>
                <w:szCs w:val="24"/>
              </w:rPr>
              <w:t>  </w:t>
            </w:r>
            <w:r>
              <w:rPr>
                <w:rFonts w:hint="eastAsia" w:ascii="仿宋_GB2312" w:hAnsi="Times New Roman" w:eastAsia="仿宋_GB2312" w:cs="仿宋_GB2312"/>
                <w:spacing w:val="-20"/>
                <w:sz w:val="24"/>
                <w:szCs w:val="24"/>
              </w:rPr>
              <w:t>少年锦标赛团体前二名、单项前四名；省运会单项比赛前二名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3</w:t>
            </w:r>
            <w:r>
              <w:rPr>
                <w:rFonts w:hint="eastAsia" w:ascii="仿宋_GB2312" w:hAnsi="Times New Roman" w:eastAsia="仿宋_GB2312" w:cs="仿宋_GB2312"/>
                <w:sz w:val="24"/>
                <w:szCs w:val="24"/>
              </w:rPr>
              <w:t>男</w:t>
            </w:r>
            <w:r>
              <w:rPr>
                <w:rFonts w:hint="default" w:ascii="Times New Roman" w:hAnsi="Times New Roman" w:cs="Times New Roman"/>
                <w:sz w:val="24"/>
                <w:szCs w:val="24"/>
              </w:rPr>
              <w:t>1</w:t>
            </w: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95"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网球</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pacing w:val="-20"/>
                <w:sz w:val="24"/>
                <w:szCs w:val="24"/>
              </w:rPr>
              <w:t>全国成人锦标赛团体前八名、单项前十二名；全国青年锦标赛团体前四名、单项前八名；全国网球分站赛单项前五名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1</w:t>
            </w:r>
            <w:r>
              <w:rPr>
                <w:rFonts w:hint="eastAsia" w:ascii="仿宋_GB2312" w:hAnsi="Times New Roman" w:eastAsia="仿宋_GB2312" w:cs="仿宋_GB2312"/>
                <w:sz w:val="24"/>
                <w:szCs w:val="24"/>
              </w:rPr>
              <w:t>男</w:t>
            </w:r>
            <w:r>
              <w:rPr>
                <w:rFonts w:hint="default" w:ascii="Times New Roman" w:hAnsi="Times New Roman" w:cs="Times New Roman"/>
                <w:sz w:val="24"/>
                <w:szCs w:val="24"/>
              </w:rPr>
              <w:t>1</w:t>
            </w: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99" w:hRule="atLeast"/>
          <w:jc w:val="center"/>
        </w:trPr>
        <w:tc>
          <w:tcPr>
            <w:tcW w:w="719"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9</w:t>
            </w:r>
          </w:p>
        </w:tc>
        <w:tc>
          <w:tcPr>
            <w:tcW w:w="1495" w:type="dxa"/>
            <w:gridSpan w:val="4"/>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省游泳运动管理中心</w:t>
            </w:r>
            <w:r>
              <w:rPr>
                <w:rFonts w:hint="default" w:ascii="Times New Roman" w:hAnsi="Times New Roman" w:cs="Times New Roman"/>
                <w:sz w:val="24"/>
                <w:szCs w:val="24"/>
              </w:rPr>
              <w:t>(7</w:t>
            </w:r>
            <w:r>
              <w:rPr>
                <w:rFonts w:hint="eastAsia" w:ascii="仿宋_GB2312" w:hAnsi="Times New Roman" w:eastAsia="仿宋_GB2312" w:cs="仿宋_GB2312"/>
                <w:sz w:val="24"/>
                <w:szCs w:val="24"/>
              </w:rPr>
              <w:t>人</w:t>
            </w:r>
            <w:r>
              <w:rPr>
                <w:rFonts w:hint="default" w:ascii="Times New Roman" w:hAnsi="Times New Roman" w:cs="Times New Roman"/>
                <w:sz w:val="24"/>
                <w:szCs w:val="24"/>
              </w:rPr>
              <w:t>)</w:t>
            </w: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游泳</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5</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参加过国家游泳队集训队员，获得过全国比赛前八名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r>
              <w:rPr>
                <w:rFonts w:hint="eastAsia" w:ascii="仿宋_GB2312" w:hAnsi="Times New Roman" w:eastAsia="仿宋_GB2312" w:cs="仿宋_GB2312"/>
                <w:sz w:val="24"/>
                <w:szCs w:val="24"/>
              </w:rPr>
              <w:t>男</w:t>
            </w:r>
            <w:r>
              <w:rPr>
                <w:rFonts w:hint="default" w:ascii="Times New Roman" w:hAnsi="Times New Roman" w:cs="Times New Roman"/>
                <w:sz w:val="24"/>
                <w:szCs w:val="24"/>
              </w:rPr>
              <w:t>3</w:t>
            </w: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999" w:hRule="atLeast"/>
          <w:jc w:val="center"/>
        </w:trPr>
        <w:tc>
          <w:tcPr>
            <w:tcW w:w="71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95" w:type="dxa"/>
            <w:gridSpan w:val="4"/>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跳水</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2</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参加过国家跳水队集训队员，获得过全国比赛前八名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1</w:t>
            </w:r>
            <w:r>
              <w:rPr>
                <w:rFonts w:hint="eastAsia" w:ascii="仿宋_GB2312" w:hAnsi="Times New Roman" w:eastAsia="仿宋_GB2312" w:cs="仿宋_GB2312"/>
                <w:sz w:val="24"/>
                <w:szCs w:val="24"/>
              </w:rPr>
              <w:t>男</w:t>
            </w:r>
            <w:r>
              <w:rPr>
                <w:rFonts w:hint="default" w:ascii="Times New Roman" w:hAnsi="Times New Roman" w:cs="Times New Roman"/>
                <w:sz w:val="24"/>
                <w:szCs w:val="24"/>
              </w:rPr>
              <w:t>1</w:t>
            </w: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99" w:hRule="atLeast"/>
          <w:jc w:val="center"/>
        </w:trPr>
        <w:tc>
          <w:tcPr>
            <w:tcW w:w="719"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10</w:t>
            </w:r>
          </w:p>
        </w:tc>
        <w:tc>
          <w:tcPr>
            <w:tcW w:w="1495"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省体操运动管理中心（</w:t>
            </w:r>
            <w:r>
              <w:rPr>
                <w:rFonts w:hint="default" w:ascii="Times New Roman" w:hAnsi="Times New Roman" w:cs="Times New Roman"/>
                <w:sz w:val="24"/>
                <w:szCs w:val="24"/>
              </w:rPr>
              <w:t>1</w:t>
            </w:r>
            <w:r>
              <w:rPr>
                <w:rFonts w:hint="eastAsia" w:ascii="仿宋_GB2312" w:hAnsi="Times New Roman" w:eastAsia="仿宋_GB2312" w:cs="仿宋_GB2312"/>
                <w:sz w:val="24"/>
                <w:szCs w:val="24"/>
              </w:rPr>
              <w:t>人）</w:t>
            </w: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竞技体操</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1</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获得过全国体操锦标赛或冠军赛前八名</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女</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1" w:hRule="atLeast"/>
          <w:jc w:val="center"/>
        </w:trPr>
        <w:tc>
          <w:tcPr>
            <w:tcW w:w="719"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495"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sz w:val="24"/>
                <w:szCs w:val="24"/>
              </w:rPr>
              <w:t>合计</w:t>
            </w:r>
          </w:p>
        </w:tc>
        <w:tc>
          <w:tcPr>
            <w:tcW w:w="1271"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084"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4"/>
                <w:szCs w:val="24"/>
              </w:rPr>
              <w:t>104</w:t>
            </w:r>
          </w:p>
        </w:tc>
        <w:tc>
          <w:tcPr>
            <w:tcW w:w="3436"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7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87" w:type="dxa"/>
            <w:gridSpan w:val="2"/>
            <w:tcBorders>
              <w:top w:val="nil"/>
              <w:left w:val="nil"/>
              <w:bottom w:val="nil"/>
              <w:right w:val="nil"/>
            </w:tcBorders>
            <w:shd w:val="cle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3" w:hRule="atLeast"/>
          <w:jc w:val="center"/>
        </w:trPr>
        <w:tc>
          <w:tcPr>
            <w:tcW w:w="638" w:type="dxa"/>
            <w:tcBorders>
              <w:top w:val="nil"/>
              <w:left w:val="nil"/>
              <w:bottom w:val="nil"/>
              <w:right w:val="nil"/>
            </w:tcBorders>
            <w:shd w:val="clear"/>
            <w:vAlign w:val="center"/>
          </w:tcPr>
          <w:p>
            <w:pPr>
              <w:rPr>
                <w:rFonts w:hint="eastAsia" w:ascii="宋体"/>
                <w:sz w:val="21"/>
                <w:szCs w:val="21"/>
              </w:rPr>
            </w:pPr>
          </w:p>
        </w:tc>
        <w:tc>
          <w:tcPr>
            <w:tcW w:w="90" w:type="dxa"/>
            <w:gridSpan w:val="2"/>
            <w:tcBorders>
              <w:top w:val="nil"/>
              <w:left w:val="nil"/>
              <w:bottom w:val="nil"/>
              <w:right w:val="nil"/>
            </w:tcBorders>
            <w:shd w:val="clear"/>
            <w:vAlign w:val="center"/>
          </w:tcPr>
          <w:p>
            <w:pPr>
              <w:rPr>
                <w:rFonts w:hint="eastAsia" w:ascii="宋体"/>
                <w:sz w:val="21"/>
                <w:szCs w:val="21"/>
              </w:rPr>
            </w:pPr>
          </w:p>
        </w:tc>
        <w:tc>
          <w:tcPr>
            <w:tcW w:w="922" w:type="dxa"/>
            <w:gridSpan w:val="2"/>
            <w:tcBorders>
              <w:top w:val="nil"/>
              <w:left w:val="nil"/>
              <w:bottom w:val="nil"/>
              <w:right w:val="nil"/>
            </w:tcBorders>
            <w:shd w:val="clear"/>
            <w:vAlign w:val="center"/>
          </w:tcPr>
          <w:p>
            <w:pPr>
              <w:rPr>
                <w:rFonts w:hint="eastAsia" w:ascii="宋体"/>
                <w:sz w:val="21"/>
                <w:szCs w:val="21"/>
              </w:rPr>
            </w:pPr>
          </w:p>
        </w:tc>
        <w:tc>
          <w:tcPr>
            <w:tcW w:w="564" w:type="dxa"/>
            <w:tcBorders>
              <w:top w:val="nil"/>
              <w:left w:val="nil"/>
              <w:bottom w:val="nil"/>
              <w:right w:val="nil"/>
            </w:tcBorders>
            <w:shd w:val="clear"/>
            <w:vAlign w:val="center"/>
          </w:tcPr>
          <w:p>
            <w:pPr>
              <w:rPr>
                <w:rFonts w:hint="eastAsia" w:ascii="宋体"/>
                <w:sz w:val="21"/>
                <w:szCs w:val="21"/>
              </w:rPr>
            </w:pPr>
          </w:p>
        </w:tc>
        <w:tc>
          <w:tcPr>
            <w:tcW w:w="697" w:type="dxa"/>
            <w:tcBorders>
              <w:top w:val="nil"/>
              <w:left w:val="nil"/>
              <w:bottom w:val="nil"/>
              <w:right w:val="nil"/>
            </w:tcBorders>
            <w:shd w:val="clear"/>
            <w:vAlign w:val="center"/>
          </w:tcPr>
          <w:p>
            <w:pPr>
              <w:rPr>
                <w:rFonts w:hint="eastAsia" w:ascii="宋体"/>
                <w:sz w:val="21"/>
                <w:szCs w:val="21"/>
              </w:rPr>
            </w:pPr>
          </w:p>
        </w:tc>
        <w:tc>
          <w:tcPr>
            <w:tcW w:w="574" w:type="dxa"/>
            <w:tcBorders>
              <w:top w:val="nil"/>
              <w:left w:val="nil"/>
              <w:bottom w:val="nil"/>
              <w:right w:val="nil"/>
            </w:tcBorders>
            <w:shd w:val="clear"/>
            <w:vAlign w:val="center"/>
          </w:tcPr>
          <w:p>
            <w:pPr>
              <w:rPr>
                <w:rFonts w:hint="eastAsia" w:ascii="宋体"/>
                <w:sz w:val="21"/>
                <w:szCs w:val="21"/>
              </w:rPr>
            </w:pPr>
          </w:p>
        </w:tc>
        <w:tc>
          <w:tcPr>
            <w:tcW w:w="516" w:type="dxa"/>
            <w:tcBorders>
              <w:top w:val="nil"/>
              <w:left w:val="nil"/>
              <w:bottom w:val="nil"/>
              <w:right w:val="nil"/>
            </w:tcBorders>
            <w:shd w:val="clear"/>
            <w:vAlign w:val="center"/>
          </w:tcPr>
          <w:p>
            <w:pPr>
              <w:rPr>
                <w:rFonts w:hint="eastAsia" w:ascii="宋体"/>
                <w:sz w:val="21"/>
                <w:szCs w:val="21"/>
              </w:rPr>
            </w:pPr>
          </w:p>
        </w:tc>
        <w:tc>
          <w:tcPr>
            <w:tcW w:w="568" w:type="dxa"/>
            <w:tcBorders>
              <w:top w:val="nil"/>
              <w:left w:val="nil"/>
              <w:bottom w:val="nil"/>
              <w:right w:val="nil"/>
            </w:tcBorders>
            <w:shd w:val="clear"/>
            <w:vAlign w:val="center"/>
          </w:tcPr>
          <w:p>
            <w:pPr>
              <w:rPr>
                <w:rFonts w:hint="eastAsia" w:ascii="宋体"/>
                <w:sz w:val="21"/>
                <w:szCs w:val="21"/>
              </w:rPr>
            </w:pPr>
          </w:p>
        </w:tc>
        <w:tc>
          <w:tcPr>
            <w:tcW w:w="2888" w:type="dxa"/>
            <w:tcBorders>
              <w:top w:val="nil"/>
              <w:left w:val="nil"/>
              <w:bottom w:val="nil"/>
              <w:right w:val="nil"/>
            </w:tcBorders>
            <w:shd w:val="clear"/>
            <w:vAlign w:val="center"/>
          </w:tcPr>
          <w:p>
            <w:pPr>
              <w:rPr>
                <w:rFonts w:hint="eastAsia" w:ascii="宋体"/>
                <w:sz w:val="21"/>
                <w:szCs w:val="21"/>
              </w:rPr>
            </w:pPr>
          </w:p>
        </w:tc>
        <w:tc>
          <w:tcPr>
            <w:tcW w:w="548" w:type="dxa"/>
            <w:tcBorders>
              <w:top w:val="nil"/>
              <w:left w:val="nil"/>
              <w:bottom w:val="nil"/>
              <w:right w:val="nil"/>
            </w:tcBorders>
            <w:shd w:val="clear"/>
            <w:vAlign w:val="center"/>
          </w:tcPr>
          <w:p>
            <w:pPr>
              <w:rPr>
                <w:rFonts w:hint="eastAsia" w:ascii="宋体"/>
                <w:sz w:val="21"/>
                <w:szCs w:val="21"/>
              </w:rPr>
            </w:pPr>
          </w:p>
        </w:tc>
        <w:tc>
          <w:tcPr>
            <w:tcW w:w="759" w:type="dxa"/>
            <w:tcBorders>
              <w:top w:val="nil"/>
              <w:left w:val="nil"/>
              <w:bottom w:val="nil"/>
              <w:right w:val="nil"/>
            </w:tcBorders>
            <w:shd w:val="clear"/>
            <w:vAlign w:val="center"/>
          </w:tcPr>
          <w:p>
            <w:pPr>
              <w:rPr>
                <w:rFonts w:hint="eastAsia" w:ascii="宋体"/>
                <w:sz w:val="21"/>
                <w:szCs w:val="21"/>
              </w:rPr>
            </w:pPr>
          </w:p>
        </w:tc>
        <w:tc>
          <w:tcPr>
            <w:tcW w:w="87" w:type="dxa"/>
            <w:gridSpan w:val="2"/>
            <w:tcBorders>
              <w:top w:val="nil"/>
              <w:left w:val="nil"/>
              <w:bottom w:val="nil"/>
              <w:right w:val="nil"/>
            </w:tcBorders>
            <w:shd w:val="clear"/>
            <w:vAlign w:val="center"/>
          </w:tcPr>
          <w:p>
            <w:pPr>
              <w:rPr>
                <w:rFonts w:hint="eastAsia" w:ascii="宋体"/>
                <w:sz w:val="21"/>
                <w:szCs w:val="21"/>
              </w:rPr>
            </w:pPr>
          </w:p>
        </w:tc>
      </w:tr>
    </w:tbl>
    <w:p>
      <w:pPr>
        <w:pStyle w:val="2"/>
        <w:keepNext w:val="0"/>
        <w:keepLines w:val="0"/>
        <w:widowControl/>
        <w:suppressLineNumbers w:val="0"/>
        <w:shd w:val="clear" w:fill="FFFFFF"/>
        <w:spacing w:before="0" w:beforeAutospacing="0" w:after="0" w:afterAutospacing="0" w:line="600" w:lineRule="atLeast"/>
        <w:ind w:left="0" w:right="0" w:firstLine="645"/>
        <w:jc w:val="both"/>
        <w:rPr>
          <w:rFonts w:hint="default" w:ascii="Times New Roman" w:hAnsi="Times New Roman" w:cs="Times New Roman"/>
          <w:b w:val="0"/>
          <w:i w:val="0"/>
          <w:caps w:val="0"/>
          <w:color w:val="000000"/>
          <w:spacing w:val="0"/>
          <w:sz w:val="21"/>
          <w:szCs w:val="21"/>
        </w:rPr>
      </w:pPr>
      <w:r>
        <w:rPr>
          <w:rFonts w:hint="default" w:ascii="Times New Roman" w:hAnsi="Times New Roman" w:eastAsia="宋体" w:cs="Times New Roman"/>
          <w:b w:val="0"/>
          <w:i w:val="0"/>
          <w:caps w:val="0"/>
          <w:color w:val="000000"/>
          <w:spacing w:val="0"/>
          <w:sz w:val="28"/>
          <w:szCs w:val="28"/>
          <w:shd w:val="clear" w:fill="FFFFFF"/>
        </w:rPr>
        <w:br w:type="page"/>
      </w:r>
      <w:r>
        <w:rPr>
          <w:rFonts w:hint="default" w:ascii="Times New Roman" w:hAnsi="Times New Roman" w:cs="Times New Roman"/>
          <w:b w:val="0"/>
          <w:i w:val="0"/>
          <w:caps w:val="0"/>
          <w:color w:val="000000"/>
          <w:spacing w:val="0"/>
          <w:sz w:val="21"/>
          <w:szCs w:val="21"/>
          <w:shd w:val="clear" w:fill="FFFFFF"/>
        </w:rPr>
        <w:t> </w:t>
      </w:r>
    </w:p>
    <w:p>
      <w:pPr>
        <w:pStyle w:val="2"/>
        <w:keepNext w:val="0"/>
        <w:keepLines w:val="0"/>
        <w:widowControl/>
        <w:suppressLineNumbers w:val="0"/>
        <w:shd w:val="clear" w:fill="FFFFFF"/>
        <w:spacing w:before="0" w:beforeAutospacing="0" w:after="0" w:afterAutospacing="0" w:line="600" w:lineRule="atLeast"/>
        <w:ind w:left="0" w:right="0" w:firstLine="0"/>
        <w:jc w:val="center"/>
        <w:rPr>
          <w:rFonts w:hint="default" w:ascii="Times New Roman" w:hAnsi="Times New Roman" w:cs="Times New Roman"/>
          <w:b w:val="0"/>
          <w:i w:val="0"/>
          <w:caps w:val="0"/>
          <w:color w:val="000000"/>
          <w:spacing w:val="0"/>
          <w:sz w:val="21"/>
          <w:szCs w:val="21"/>
        </w:rPr>
      </w:pPr>
      <w:r>
        <w:rPr>
          <w:rFonts w:hint="default" w:ascii="文星标宋" w:hAnsi="文星标宋" w:eastAsia="文星标宋" w:cs="文星标宋"/>
          <w:b w:val="0"/>
          <w:i w:val="0"/>
          <w:caps w:val="0"/>
          <w:color w:val="000000"/>
          <w:spacing w:val="0"/>
          <w:sz w:val="44"/>
          <w:szCs w:val="44"/>
          <w:shd w:val="clear" w:fill="FFFFFF"/>
        </w:rPr>
        <w:t>招聘单位地址及联系电话</w:t>
      </w:r>
    </w:p>
    <w:p>
      <w:pPr>
        <w:pStyle w:val="2"/>
        <w:keepNext w:val="0"/>
        <w:keepLines w:val="0"/>
        <w:widowControl/>
        <w:suppressLineNumbers w:val="0"/>
        <w:shd w:val="clear" w:fill="FFFFFF"/>
        <w:spacing w:before="0" w:beforeAutospacing="0" w:after="0" w:afterAutospacing="0" w:line="600" w:lineRule="atLeast"/>
        <w:ind w:left="0" w:right="0" w:firstLine="645"/>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tbl>
      <w:tblPr>
        <w:tblW w:w="77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3256"/>
        <w:gridCol w:w="2656"/>
        <w:gridCol w:w="18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28" w:hRule="atLeast"/>
        </w:trPr>
        <w:tc>
          <w:tcPr>
            <w:tcW w:w="325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ascii="黑体" w:hAnsi="Times New Roman" w:eastAsia="黑体" w:cs="黑体"/>
                <w:b w:val="0"/>
                <w:i w:val="0"/>
                <w:caps w:val="0"/>
                <w:color w:val="000000"/>
                <w:spacing w:val="0"/>
                <w:sz w:val="28"/>
                <w:szCs w:val="28"/>
              </w:rPr>
              <w:t>单位名称</w:t>
            </w:r>
          </w:p>
        </w:tc>
        <w:tc>
          <w:tcPr>
            <w:tcW w:w="265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黑体" w:hAnsi="Times New Roman" w:eastAsia="黑体" w:cs="黑体"/>
                <w:b w:val="0"/>
                <w:i w:val="0"/>
                <w:caps w:val="0"/>
                <w:color w:val="000000"/>
                <w:spacing w:val="0"/>
                <w:sz w:val="28"/>
                <w:szCs w:val="28"/>
              </w:rPr>
              <w:t>单位地址</w:t>
            </w:r>
          </w:p>
        </w:tc>
        <w:tc>
          <w:tcPr>
            <w:tcW w:w="184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黑体" w:hAnsi="Times New Roman" w:eastAsia="黑体" w:cs="黑体"/>
                <w:b w:val="0"/>
                <w:i w:val="0"/>
                <w:caps w:val="0"/>
                <w:color w:val="000000"/>
                <w:spacing w:val="0"/>
                <w:sz w:val="28"/>
                <w:szCs w:val="28"/>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4" w:hRule="atLeast"/>
        </w:trPr>
        <w:tc>
          <w:tcPr>
            <w:tcW w:w="32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省重竞技运动管理中心</w:t>
            </w:r>
          </w:p>
        </w:tc>
        <w:tc>
          <w:tcPr>
            <w:tcW w:w="265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郑州市上街区上汜路</w:t>
            </w:r>
            <w:r>
              <w:rPr>
                <w:rFonts w:hint="default" w:ascii="Times New Roman" w:hAnsi="Times New Roman" w:eastAsia="宋体" w:cs="Times New Roman"/>
                <w:b w:val="0"/>
                <w:i w:val="0"/>
                <w:caps w:val="0"/>
                <w:color w:val="000000"/>
                <w:spacing w:val="0"/>
                <w:sz w:val="24"/>
                <w:szCs w:val="24"/>
              </w:rPr>
              <w:t>27</w:t>
            </w:r>
            <w:r>
              <w:rPr>
                <w:rFonts w:hint="eastAsia" w:ascii="仿宋_GB2312" w:hAnsi="Times New Roman" w:eastAsia="仿宋_GB2312" w:cs="仿宋_GB2312"/>
                <w:b w:val="0"/>
                <w:i w:val="0"/>
                <w:caps w:val="0"/>
                <w:color w:val="000000"/>
                <w:spacing w:val="0"/>
                <w:sz w:val="24"/>
                <w:szCs w:val="24"/>
              </w:rPr>
              <w:t>号</w:t>
            </w:r>
          </w:p>
        </w:tc>
        <w:tc>
          <w:tcPr>
            <w:tcW w:w="184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0371--68917960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4" w:hRule="atLeast"/>
        </w:trPr>
        <w:tc>
          <w:tcPr>
            <w:tcW w:w="32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省射击运动管理中心</w:t>
            </w:r>
          </w:p>
        </w:tc>
        <w:tc>
          <w:tcPr>
            <w:tcW w:w="265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郑州市连云路</w:t>
            </w:r>
            <w:r>
              <w:rPr>
                <w:rFonts w:hint="default" w:ascii="Times New Roman" w:hAnsi="Times New Roman" w:eastAsia="宋体" w:cs="Times New Roman"/>
                <w:b w:val="0"/>
                <w:i w:val="0"/>
                <w:caps w:val="0"/>
                <w:color w:val="000000"/>
                <w:spacing w:val="0"/>
                <w:sz w:val="24"/>
                <w:szCs w:val="24"/>
              </w:rPr>
              <w:t>65</w:t>
            </w:r>
            <w:r>
              <w:rPr>
                <w:rFonts w:hint="eastAsia" w:ascii="仿宋_GB2312" w:hAnsi="Times New Roman" w:eastAsia="仿宋_GB2312" w:cs="仿宋_GB2312"/>
                <w:b w:val="0"/>
                <w:i w:val="0"/>
                <w:caps w:val="0"/>
                <w:color w:val="000000"/>
                <w:spacing w:val="0"/>
                <w:sz w:val="24"/>
                <w:szCs w:val="24"/>
              </w:rPr>
              <w:t>号</w:t>
            </w:r>
          </w:p>
        </w:tc>
        <w:tc>
          <w:tcPr>
            <w:tcW w:w="184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0371--68713192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4" w:hRule="atLeast"/>
        </w:trPr>
        <w:tc>
          <w:tcPr>
            <w:tcW w:w="32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省水上运动管理中心</w:t>
            </w:r>
          </w:p>
        </w:tc>
        <w:tc>
          <w:tcPr>
            <w:tcW w:w="265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信阳市南湖路</w:t>
            </w:r>
            <w:r>
              <w:rPr>
                <w:rFonts w:hint="default" w:ascii="Times New Roman" w:hAnsi="Times New Roman" w:eastAsia="宋体" w:cs="Times New Roman"/>
                <w:b w:val="0"/>
                <w:i w:val="0"/>
                <w:caps w:val="0"/>
                <w:color w:val="000000"/>
                <w:spacing w:val="0"/>
                <w:sz w:val="24"/>
                <w:szCs w:val="24"/>
              </w:rPr>
              <w:t>139</w:t>
            </w:r>
            <w:r>
              <w:rPr>
                <w:rFonts w:hint="eastAsia" w:ascii="仿宋_GB2312" w:hAnsi="Times New Roman" w:eastAsia="仿宋_GB2312" w:cs="仿宋_GB2312"/>
                <w:b w:val="0"/>
                <w:i w:val="0"/>
                <w:caps w:val="0"/>
                <w:color w:val="000000"/>
                <w:spacing w:val="0"/>
                <w:sz w:val="24"/>
                <w:szCs w:val="24"/>
              </w:rPr>
              <w:t>号</w:t>
            </w:r>
          </w:p>
        </w:tc>
        <w:tc>
          <w:tcPr>
            <w:tcW w:w="184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0376--6397365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4" w:hRule="atLeast"/>
        </w:trPr>
        <w:tc>
          <w:tcPr>
            <w:tcW w:w="32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省自行车现代五项运动管理中心</w:t>
            </w:r>
          </w:p>
        </w:tc>
        <w:tc>
          <w:tcPr>
            <w:tcW w:w="265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郑州市花园路</w:t>
            </w:r>
            <w:r>
              <w:rPr>
                <w:rFonts w:hint="default" w:ascii="Times New Roman" w:hAnsi="Times New Roman" w:eastAsia="宋体" w:cs="Times New Roman"/>
                <w:b w:val="0"/>
                <w:i w:val="0"/>
                <w:caps w:val="0"/>
                <w:color w:val="000000"/>
                <w:spacing w:val="0"/>
                <w:sz w:val="24"/>
                <w:szCs w:val="24"/>
              </w:rPr>
              <w:t>109</w:t>
            </w:r>
            <w:r>
              <w:rPr>
                <w:rFonts w:hint="eastAsia" w:ascii="仿宋_GB2312" w:hAnsi="Times New Roman" w:eastAsia="仿宋_GB2312" w:cs="仿宋_GB2312"/>
                <w:b w:val="0"/>
                <w:i w:val="0"/>
                <w:caps w:val="0"/>
                <w:color w:val="000000"/>
                <w:spacing w:val="0"/>
                <w:sz w:val="24"/>
                <w:szCs w:val="24"/>
              </w:rPr>
              <w:t>号</w:t>
            </w:r>
          </w:p>
        </w:tc>
        <w:tc>
          <w:tcPr>
            <w:tcW w:w="184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0371--65718967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604" w:hRule="atLeast"/>
        </w:trPr>
        <w:tc>
          <w:tcPr>
            <w:tcW w:w="32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省田径运动管理中心</w:t>
            </w:r>
          </w:p>
        </w:tc>
        <w:tc>
          <w:tcPr>
            <w:tcW w:w="265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郑州市银河路</w:t>
            </w:r>
            <w:r>
              <w:rPr>
                <w:rFonts w:hint="default" w:ascii="Times New Roman" w:hAnsi="Times New Roman" w:eastAsia="宋体" w:cs="Times New Roman"/>
                <w:b w:val="0"/>
                <w:i w:val="0"/>
                <w:caps w:val="0"/>
                <w:color w:val="000000"/>
                <w:spacing w:val="0"/>
                <w:sz w:val="24"/>
                <w:szCs w:val="24"/>
              </w:rPr>
              <w:t>2</w:t>
            </w:r>
            <w:r>
              <w:rPr>
                <w:rFonts w:hint="eastAsia" w:ascii="仿宋_GB2312" w:hAnsi="Times New Roman" w:eastAsia="仿宋_GB2312" w:cs="仿宋_GB2312"/>
                <w:b w:val="0"/>
                <w:i w:val="0"/>
                <w:caps w:val="0"/>
                <w:color w:val="000000"/>
                <w:spacing w:val="0"/>
                <w:sz w:val="24"/>
                <w:szCs w:val="24"/>
              </w:rPr>
              <w:t>号</w:t>
            </w:r>
          </w:p>
        </w:tc>
        <w:tc>
          <w:tcPr>
            <w:tcW w:w="184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0371--63631121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4" w:hRule="atLeast"/>
        </w:trPr>
        <w:tc>
          <w:tcPr>
            <w:tcW w:w="32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省武术运动管理中心</w:t>
            </w:r>
          </w:p>
        </w:tc>
        <w:tc>
          <w:tcPr>
            <w:tcW w:w="265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郑州市健康路</w:t>
            </w:r>
            <w:r>
              <w:rPr>
                <w:rFonts w:hint="default" w:ascii="Times New Roman" w:hAnsi="Times New Roman" w:eastAsia="宋体" w:cs="Times New Roman"/>
                <w:b w:val="0"/>
                <w:i w:val="0"/>
                <w:caps w:val="0"/>
                <w:color w:val="000000"/>
                <w:spacing w:val="0"/>
                <w:sz w:val="24"/>
                <w:szCs w:val="24"/>
              </w:rPr>
              <w:t>150</w:t>
            </w:r>
            <w:r>
              <w:rPr>
                <w:rFonts w:hint="eastAsia" w:ascii="仿宋_GB2312" w:hAnsi="Times New Roman" w:eastAsia="仿宋_GB2312" w:cs="仿宋_GB2312"/>
                <w:b w:val="0"/>
                <w:i w:val="0"/>
                <w:caps w:val="0"/>
                <w:color w:val="000000"/>
                <w:spacing w:val="0"/>
                <w:sz w:val="24"/>
                <w:szCs w:val="24"/>
              </w:rPr>
              <w:t>号</w:t>
            </w:r>
          </w:p>
        </w:tc>
        <w:tc>
          <w:tcPr>
            <w:tcW w:w="184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0371--63867607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4" w:hRule="atLeast"/>
        </w:trPr>
        <w:tc>
          <w:tcPr>
            <w:tcW w:w="32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省球类运动管理中心</w:t>
            </w:r>
          </w:p>
        </w:tc>
        <w:tc>
          <w:tcPr>
            <w:tcW w:w="265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郑州市银河路</w:t>
            </w:r>
            <w:r>
              <w:rPr>
                <w:rFonts w:hint="default" w:ascii="Times New Roman" w:hAnsi="Times New Roman" w:eastAsia="宋体" w:cs="Times New Roman"/>
                <w:b w:val="0"/>
                <w:i w:val="0"/>
                <w:caps w:val="0"/>
                <w:color w:val="000000"/>
                <w:spacing w:val="0"/>
                <w:sz w:val="24"/>
                <w:szCs w:val="24"/>
              </w:rPr>
              <w:t>2</w:t>
            </w:r>
            <w:r>
              <w:rPr>
                <w:rFonts w:hint="eastAsia" w:ascii="仿宋_GB2312" w:hAnsi="Times New Roman" w:eastAsia="仿宋_GB2312" w:cs="仿宋_GB2312"/>
                <w:b w:val="0"/>
                <w:i w:val="0"/>
                <w:caps w:val="0"/>
                <w:color w:val="000000"/>
                <w:spacing w:val="0"/>
                <w:sz w:val="24"/>
                <w:szCs w:val="24"/>
              </w:rPr>
              <w:t>号</w:t>
            </w:r>
          </w:p>
        </w:tc>
        <w:tc>
          <w:tcPr>
            <w:tcW w:w="184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0371--63631871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4" w:hRule="atLeast"/>
        </w:trPr>
        <w:tc>
          <w:tcPr>
            <w:tcW w:w="32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省乒乓球网球运动管理中心</w:t>
            </w:r>
          </w:p>
        </w:tc>
        <w:tc>
          <w:tcPr>
            <w:tcW w:w="265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郑州市健康路</w:t>
            </w:r>
            <w:r>
              <w:rPr>
                <w:rFonts w:hint="default" w:ascii="Times New Roman" w:hAnsi="Times New Roman" w:eastAsia="宋体" w:cs="Times New Roman"/>
                <w:b w:val="0"/>
                <w:i w:val="0"/>
                <w:caps w:val="0"/>
                <w:color w:val="000000"/>
                <w:spacing w:val="0"/>
                <w:sz w:val="24"/>
                <w:szCs w:val="24"/>
              </w:rPr>
              <w:t>150</w:t>
            </w:r>
            <w:r>
              <w:rPr>
                <w:rFonts w:hint="eastAsia" w:ascii="仿宋_GB2312" w:hAnsi="Times New Roman" w:eastAsia="仿宋_GB2312" w:cs="仿宋_GB2312"/>
                <w:b w:val="0"/>
                <w:i w:val="0"/>
                <w:caps w:val="0"/>
                <w:color w:val="000000"/>
                <w:spacing w:val="0"/>
                <w:sz w:val="24"/>
                <w:szCs w:val="24"/>
              </w:rPr>
              <w:t>号</w:t>
            </w:r>
          </w:p>
        </w:tc>
        <w:tc>
          <w:tcPr>
            <w:tcW w:w="184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0371--63866087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4" w:hRule="atLeast"/>
        </w:trPr>
        <w:tc>
          <w:tcPr>
            <w:tcW w:w="32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省游泳运动管理中心</w:t>
            </w:r>
          </w:p>
        </w:tc>
        <w:tc>
          <w:tcPr>
            <w:tcW w:w="265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郑州市健康路</w:t>
            </w:r>
            <w:r>
              <w:rPr>
                <w:rFonts w:hint="default" w:ascii="Times New Roman" w:hAnsi="Times New Roman" w:eastAsia="宋体" w:cs="Times New Roman"/>
                <w:b w:val="0"/>
                <w:i w:val="0"/>
                <w:caps w:val="0"/>
                <w:color w:val="000000"/>
                <w:spacing w:val="0"/>
                <w:sz w:val="24"/>
                <w:szCs w:val="24"/>
              </w:rPr>
              <w:t>150</w:t>
            </w:r>
            <w:r>
              <w:rPr>
                <w:rFonts w:hint="eastAsia" w:ascii="仿宋_GB2312" w:hAnsi="Times New Roman" w:eastAsia="仿宋_GB2312" w:cs="仿宋_GB2312"/>
                <w:b w:val="0"/>
                <w:i w:val="0"/>
                <w:caps w:val="0"/>
                <w:color w:val="000000"/>
                <w:spacing w:val="0"/>
                <w:sz w:val="24"/>
                <w:szCs w:val="24"/>
              </w:rPr>
              <w:t>号</w:t>
            </w:r>
          </w:p>
        </w:tc>
        <w:tc>
          <w:tcPr>
            <w:tcW w:w="184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0371--63861290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4" w:hRule="atLeast"/>
        </w:trPr>
        <w:tc>
          <w:tcPr>
            <w:tcW w:w="32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省体操运动管理中心</w:t>
            </w:r>
          </w:p>
        </w:tc>
        <w:tc>
          <w:tcPr>
            <w:tcW w:w="265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sz w:val="24"/>
                <w:szCs w:val="24"/>
              </w:rPr>
              <w:t>郑州市健康路</w:t>
            </w:r>
            <w:r>
              <w:rPr>
                <w:rFonts w:hint="default" w:ascii="Times New Roman" w:hAnsi="Times New Roman" w:eastAsia="宋体" w:cs="Times New Roman"/>
                <w:b w:val="0"/>
                <w:i w:val="0"/>
                <w:caps w:val="0"/>
                <w:color w:val="000000"/>
                <w:spacing w:val="0"/>
                <w:sz w:val="24"/>
                <w:szCs w:val="24"/>
              </w:rPr>
              <w:t>99</w:t>
            </w:r>
            <w:r>
              <w:rPr>
                <w:rFonts w:hint="eastAsia" w:ascii="仿宋_GB2312" w:hAnsi="Times New Roman" w:eastAsia="仿宋_GB2312" w:cs="仿宋_GB2312"/>
                <w:b w:val="0"/>
                <w:i w:val="0"/>
                <w:caps w:val="0"/>
                <w:color w:val="000000"/>
                <w:spacing w:val="0"/>
                <w:sz w:val="24"/>
                <w:szCs w:val="24"/>
              </w:rPr>
              <w:t>号</w:t>
            </w:r>
          </w:p>
        </w:tc>
        <w:tc>
          <w:tcPr>
            <w:tcW w:w="184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4"/>
                <w:szCs w:val="24"/>
              </w:rPr>
              <w:t>0371--61775301</w:t>
            </w:r>
          </w:p>
        </w:tc>
      </w:tr>
    </w:tbl>
    <w:p>
      <w:pPr>
        <w:keepNext w:val="0"/>
        <w:keepLines w:val="0"/>
        <w:widowControl/>
        <w:suppressLineNumbers w:val="0"/>
        <w:jc w:val="left"/>
      </w:pPr>
    </w:p>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文星标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AF53B1"/>
    <w:rsid w:val="03AF53B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2016-12-07T02:34:00Z</dcterms:created>
  <dc:creator>Administrator</dc:creator>
  <cp:lastModifiedBy>Administrator</cp:lastModifiedBy>
  <dcterms:modified xsi:type="dcterms:W3CDTF">2016-12-07T02:35:53Z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