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附件2</w:t>
      </w:r>
    </w:p>
    <w:tbl>
      <w:tblPr>
        <w:tblStyle w:val="2"/>
        <w:tblW w:w="0" w:type="auto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386"/>
        <w:gridCol w:w="3806"/>
        <w:gridCol w:w="17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8835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after="156" w:afterLines="50" w:line="40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000000"/>
                <w:sz w:val="36"/>
                <w:szCs w:val="36"/>
              </w:rPr>
              <w:t>龙游县优秀人才招聘综合素质能力考评内</w:t>
            </w:r>
            <w:r>
              <w:rPr>
                <w:rFonts w:hint="eastAsia" w:ascii="宋体" w:hAnsi="宋体" w:cs="宋体"/>
                <w:b/>
                <w:sz w:val="36"/>
                <w:szCs w:val="36"/>
              </w:rPr>
              <w:t>容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序号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考评项目和内容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学历层次和毕业院校</w:t>
            </w:r>
          </w:p>
        </w:tc>
        <w:tc>
          <w:tcPr>
            <w:tcW w:w="173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请报考人员报名时全面、如实提供表内各栏目等能反映本人能力水平的各项材料，并按顺序整理原件和复印件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619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2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技能特长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各类职业资格、等级证书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学业成绩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在校期间每学期各课程成绩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23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获奖情况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奖学金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本学科专业性获奖或荣誉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90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“三好学生”或“优秀学生”等综合性荣誉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exact"/>
        </w:trPr>
        <w:tc>
          <w:tcPr>
            <w:tcW w:w="9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担任职务及其他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参考校（院）学生会（党团）任职、班级任职、社会团体任职情况及参加社会活动情况</w:t>
            </w:r>
          </w:p>
        </w:tc>
        <w:tc>
          <w:tcPr>
            <w:tcW w:w="173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lZDczZjZiOTIzMWI3YjgwZDhlMDk2NDc5OWI5MmMifQ=="/>
  </w:docVars>
  <w:rsids>
    <w:rsidRoot w:val="00000000"/>
    <w:rsid w:val="661F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2023-02-15T08:51:58Z</dcterms:created>
  <dc:creator>Administrator</dc:creator>
  <cp:lastModifiedBy>事业科</cp:lastModifiedBy>
  <dcterms:modified xsi:type="dcterms:W3CDTF">2023-02-15T08:52:05Z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7DA22BAB24CB41F69E22391D99B6AF8B</vt:lpwstr>
  </property>
</Properties>
</file>