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50" w:type="pct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638"/>
        <w:gridCol w:w="1389"/>
        <w:gridCol w:w="648"/>
        <w:gridCol w:w="374"/>
        <w:gridCol w:w="462"/>
        <w:gridCol w:w="492"/>
        <w:gridCol w:w="726"/>
        <w:gridCol w:w="531"/>
        <w:gridCol w:w="1125"/>
        <w:gridCol w:w="852"/>
        <w:gridCol w:w="75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附件2：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44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德阳市罗江区2021年面向区外人才回引教师岗位表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5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13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26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选调单位</w:t>
            </w:r>
          </w:p>
        </w:tc>
        <w:tc>
          <w:tcPr>
            <w:tcW w:w="10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710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3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面试学段学科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5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师范类毕业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教师资格种类学科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3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CellSpacing w:w="0" w:type="dxa"/>
          <w:jc w:val="center"/>
        </w:trPr>
        <w:tc>
          <w:tcPr>
            <w:tcW w:w="5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区教育局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罗江区教师管理培训中心（四）（派遣至乡镇学校）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具备相应层次学科的教师资格证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相应层次学科讲课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960"/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94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2021-05-29T02:38:21Z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4A7F0DA34123459F89267DD9F62770D4</vt:lpwstr>
  </property>
</Properties>
</file>