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background-color:#FFFFFF;" w:hAnsi="background-color:#FFFFFF;" w:eastAsia="background-color:#FFFFFF;" w:cs="background-color:#FFFFFF;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default" w:ascii="background-color:#FFFFFF;" w:hAnsi="background-color:#FFFFFF;" w:eastAsia="background-color:#FFFFFF;" w:cs="background-color:#FFFFFF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 吴起县职业教育中心“县管校聘”教师招聘岗位需求计划表</w:t>
      </w:r>
    </w:p>
    <w:tbl>
      <w:tblPr>
        <w:tblW w:w="8618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859"/>
        <w:gridCol w:w="863"/>
        <w:gridCol w:w="1725"/>
        <w:gridCol w:w="2156"/>
        <w:gridCol w:w="215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49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498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5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100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125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250" w:type="pc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  <w:jc w:val="center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旅游服务与管理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全日制基础教育类、职业教育类一批本科及以上毕业生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本科：旅游管理、旅游管理与服务教育 研究生：旅游管理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所学专业与引进专业相符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2" w:hRule="atLeast"/>
          <w:jc w:val="center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计算机应用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本科：计算机应用技术、网络工程、软件工程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研究生：计算机应用技术、软件工程、计算机科学与技术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相应的专业等级证或技能等级证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  <w:jc w:val="center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财务 管理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本科：财务管理、财务会计教育、会计学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研究生：财务管理、会计学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所学专业与引进专业相符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  <w:jc w:val="center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宋体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vertAlign w:val="baseline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本科：钢琴、舞蹈学、音乐学</w:t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研究生：音乐学、舞蹈学、音乐与舞蹈学 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高中音乐教师资格证及相应的专业资格证或技能等级证</w:t>
            </w:r>
          </w:p>
        </w:tc>
      </w:tr>
    </w:tbl>
    <w:p>
      <w:r>
        <w:rPr>
          <w:rFonts w:ascii="font-size:14px;" w:hAnsi="font-size:14px;" w:eastAsia="font-size:14px;" w:cs="font-size:14px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F4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2021-03-30T06:04:45Z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D12B18001969421994375C45ABBCE4FE</vt:lpwstr>
  </property>
</Properties>
</file>