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background-color:#FFFFFF;" w:hAnsi="background-color:#FFFFFF;" w:eastAsia="background-color:#FFFFFF;" w:cs="background-color:#FFFFFF;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default" w:ascii="background-color:#FFFFFF;" w:hAnsi="background-color:#FFFFFF;" w:eastAsia="background-color:#FFFFFF;" w:cs="background-color:#FFFFFF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附件1：吴起高级中学“县管校聘”教师招聘岗位需求计划表  </w:t>
      </w:r>
    </w:p>
    <w:tbl>
      <w:tblPr>
        <w:tblW w:w="893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892"/>
        <w:gridCol w:w="894"/>
        <w:gridCol w:w="1788"/>
        <w:gridCol w:w="2236"/>
        <w:gridCol w:w="223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49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bookmarkStart w:id="0" w:name="_GoBack"/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49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5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数量</w:t>
            </w:r>
          </w:p>
        </w:tc>
        <w:tc>
          <w:tcPr>
            <w:tcW w:w="10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125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125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2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全日制基础教育类一批本科毕业生、基础教育类研究生（本科阶段为二本及以上学历）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本科：汉语言文学、语文教学论、中国语言文学、中国语言文化、应用语言学、汉语文学教育、汉语言、汉语言文学与文化传播</w: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研究生：汉语言文学、语言学与应用语言学、中国现当代文学 、学科教学（语文）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普通话二级甲等及以上等级，高中语文教师资格证。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本科：数学与应用数学、数学教学论、基础数学、应用数学、计算数学、数学教育</w: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研究生：应用数学、基础数学、学科教学（数学）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普通话二级乙等及以上等级，高中英语教师资格证。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本科：英语、英语教学论、英语语言文学、英语教育</w: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研究生：英语语言文学、学科教学（英语）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普通话二级乙等及以上等级，高中英语教师资格证。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本科： 思想政治教育、政治学 研究生：学科教学（思政）、政治学理论、思想政治教育课程与教学论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普通话二级乙等及以上等级，高中政治教师资格证。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本科：生物科学、生物技术、生物资源科学、生物信息技术</w: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研究生：微生物学、植物学、动物学、学科教学（生物）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普通话二级乙等及以上等级，高中生物教师资格证。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1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本科： 地理科学、地理教育、自然地理与资源环境、 人文地理与城乡规划、地理信息科学</w: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研究生：自然地理学、人文地理学、学科教学（地理）、地理课程与教学论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普通话二级乙等及以上等级，高中地理教师资格证。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6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本科：社会体育、体育教育、运动训练、社会体育指导与管理、武术与民族传统体育、民族传统体育、运动人体科学</w: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研究生：体育人文社会学、体育教育训练学、民族传统体育学、社会体育指导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普通话二级乙等及以上等级，高中体育与健康教师资格证。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495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2021-03-30T06:04:08Z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A0BC320FC4084417B927406F2CFB6C31</vt:lpwstr>
  </property>
</Properties>
</file>