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26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51"/>
        <w:gridCol w:w="1183"/>
        <w:gridCol w:w="2839"/>
        <w:gridCol w:w="1205"/>
        <w:gridCol w:w="1836"/>
        <w:gridCol w:w="1251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3770" w:type="dxa"/>
            <w:gridSpan w:val="6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附件</w:t>
            </w:r>
            <w:r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：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                          </w:t>
            </w:r>
            <w:r>
              <w:rPr>
                <w:rStyle w:val="4"/>
                <w:rFonts w:ascii="黑体" w:hAnsi="宋体" w:eastAsia="黑体" w:cs="黑体"/>
                <w:i w:val="0"/>
                <w:caps w:val="0"/>
                <w:color w:val="333333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《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综合素质》评分表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(10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分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3770" w:type="dxa"/>
            <w:gridSpan w:val="6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学科：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              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考生姓名　：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      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毕业院校与专业：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37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奖学金（封顶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分）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得分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表彰（封顶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分）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得分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其它（各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分）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得分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37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国家奖学金（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分）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校优秀学生（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分）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共产党员（限政治、历史教师岗位）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37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国家励志奖学金（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分）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校优秀学生干部（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分）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CN论文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37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校一等奖学金（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分）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校优秀共青团员、优秀团干部（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分）（仅限政治、历史教师岗位）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全国计算机等级考试三级及以上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37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校二等奖学金（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分）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校三好学生（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分）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中国语言文学类考生普通话一级乙等及以上，其他考生取得普通话二级甲等及以上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37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校三等奖学金（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分）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以上项目院、系获奖各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分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220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37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总分：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                                               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评委签名：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ascii="仿宋" w:hAnsi="仿宋" w:eastAsia="仿宋" w:cs="仿宋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注：全日制硕士研究生及以上学历、学位的招聘对象所有加分项目只限于研究生期间，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教育部直属高校免费师范毕业生及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教育部直属师范大学本科应届毕业生所有加分项目只限于本科期间。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104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2020-11-23T08:52:41Z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