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jc w:val="left"/>
        <w:rPr>
          <w:rFonts w:hint="eastAsia" w:ascii="宋体" w:hAnsi="宋体" w:eastAsia="宋体" w:cs="宋体"/>
          <w:b/>
          <w:bCs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333333"/>
          <w:sz w:val="32"/>
          <w:szCs w:val="32"/>
          <w:shd w:val="clear" w:color="auto" w:fill="FFFFFF"/>
          <w:lang w:eastAsia="zh-CN"/>
        </w:rPr>
        <w:t>附件</w:t>
      </w:r>
      <w:r>
        <w:rPr>
          <w:rFonts w:hint="eastAsia" w:ascii="宋体" w:hAnsi="宋体" w:eastAsia="宋体" w:cs="宋体"/>
          <w:b/>
          <w:bCs/>
          <w:color w:val="333333"/>
          <w:sz w:val="32"/>
          <w:szCs w:val="32"/>
          <w:shd w:val="clear" w:color="auto" w:fill="FFFFFF"/>
          <w:lang w:val="en-US" w:eastAsia="zh-CN"/>
        </w:rPr>
        <w:t>2</w:t>
      </w:r>
    </w:p>
    <w:p>
      <w:pPr>
        <w:adjustRightInd w:val="0"/>
        <w:snapToGrid w:val="0"/>
        <w:spacing w:line="580" w:lineRule="exact"/>
        <w:jc w:val="left"/>
        <w:rPr>
          <w:rFonts w:hint="default" w:ascii="宋体" w:hAnsi="宋体" w:eastAsia="宋体" w:cs="宋体"/>
          <w:b/>
          <w:bCs/>
          <w:color w:val="333333"/>
          <w:sz w:val="32"/>
          <w:szCs w:val="32"/>
          <w:shd w:val="clear" w:color="auto" w:fill="FFFFFF"/>
          <w:lang w:val="en-US" w:eastAsia="zh-CN"/>
        </w:rPr>
      </w:pPr>
    </w:p>
    <w:p>
      <w:pPr>
        <w:adjustRightInd w:val="0"/>
        <w:snapToGrid w:val="0"/>
        <w:spacing w:line="560" w:lineRule="exact"/>
        <w:jc w:val="center"/>
        <w:rPr>
          <w:rFonts w:ascii="宋体" w:hAnsi="宋体" w:eastAsia="宋体" w:cs="宋体"/>
          <w:b/>
          <w:bCs/>
          <w:color w:val="333333"/>
          <w:sz w:val="44"/>
          <w:szCs w:val="44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333333"/>
          <w:sz w:val="44"/>
          <w:szCs w:val="44"/>
          <w:shd w:val="clear" w:color="auto" w:fill="FFFFFF"/>
        </w:rPr>
        <w:t>深圳市罗湖区教育局2020年秋季赴外面向2021届应届毕业生定点招聘教师防疫要求</w:t>
      </w:r>
    </w:p>
    <w:p>
      <w:pPr>
        <w:adjustRightInd w:val="0"/>
        <w:snapToGrid w:val="0"/>
        <w:spacing w:line="560" w:lineRule="exact"/>
        <w:jc w:val="center"/>
        <w:rPr>
          <w:rFonts w:hint="eastAsia" w:ascii="宋体" w:hAnsi="宋体" w:eastAsia="宋体" w:cs="宋体"/>
          <w:b/>
          <w:bCs/>
          <w:color w:val="333333"/>
          <w:sz w:val="40"/>
          <w:szCs w:val="40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333333"/>
          <w:sz w:val="40"/>
          <w:szCs w:val="40"/>
          <w:shd w:val="clear" w:color="auto" w:fill="FFFFFF"/>
          <w:lang w:val="en-US" w:eastAsia="zh-CN"/>
        </w:rPr>
        <w:t xml:space="preserve">    </w:t>
      </w:r>
    </w:p>
    <w:p>
      <w:pPr>
        <w:numPr>
          <w:ilvl w:val="255"/>
          <w:numId w:val="0"/>
        </w:numPr>
        <w:adjustRightInd w:val="0"/>
        <w:snapToGrid w:val="0"/>
        <w:spacing w:line="560" w:lineRule="exact"/>
        <w:jc w:val="left"/>
        <w:rPr>
          <w:rFonts w:ascii="黑体" w:hAnsi="黑体" w:eastAsia="黑体" w:cs="黑体"/>
          <w:color w:val="333333"/>
          <w:sz w:val="32"/>
          <w:szCs w:val="32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333333"/>
          <w:sz w:val="40"/>
          <w:szCs w:val="40"/>
          <w:shd w:val="clear" w:color="auto" w:fill="FFFFFF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color w:val="333333"/>
          <w:sz w:val="32"/>
          <w:szCs w:val="32"/>
          <w:shd w:val="clear" w:color="auto" w:fill="FFFFFF"/>
          <w:lang w:val="en-US" w:eastAsia="zh-CN"/>
        </w:rPr>
        <w:t xml:space="preserve">  </w:t>
      </w:r>
      <w:r>
        <w:rPr>
          <w:rFonts w:hint="eastAsia" w:ascii="黑体" w:hAnsi="黑体" w:eastAsia="黑体" w:cs="黑体"/>
          <w:color w:val="333333"/>
          <w:sz w:val="32"/>
          <w:szCs w:val="32"/>
          <w:shd w:val="clear" w:color="auto" w:fill="FFFFFF"/>
          <w:lang w:val="en-US" w:eastAsia="zh-CN"/>
        </w:rPr>
        <w:t>一、</w:t>
      </w:r>
      <w:r>
        <w:rPr>
          <w:rFonts w:hint="eastAsia" w:ascii="黑体" w:hAnsi="黑体" w:eastAsia="黑体" w:cs="黑体"/>
          <w:color w:val="333333"/>
          <w:sz w:val="32"/>
          <w:szCs w:val="32"/>
          <w:shd w:val="clear" w:color="auto" w:fill="FFFFFF"/>
        </w:rPr>
        <w:t>出示绿色行程卡</w:t>
      </w:r>
    </w:p>
    <w:p>
      <w:pPr>
        <w:numPr>
          <w:ilvl w:val="255"/>
          <w:numId w:val="0"/>
        </w:numPr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面试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当天须生成本人的绿色行程卡（生成流程：进入微信—搜索“国务院客户端”—在“国务院客户端”选择“防疫行程卡”—通过验证获取行程卡）。进入现场时，主动出示身份证、绿色行程</w:t>
      </w:r>
      <w:bookmarkStart w:id="0" w:name="_GoBack"/>
      <w:bookmarkEnd w:id="0"/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卡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并配合检测体温。经现场测量体温低于37.3℃，方可进入考点参加考试。</w:t>
      </w:r>
    </w:p>
    <w:p>
      <w:pPr>
        <w:numPr>
          <w:ilvl w:val="255"/>
          <w:numId w:val="0"/>
        </w:numPr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eastAsia="zh-C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1054735</wp:posOffset>
            </wp:positionH>
            <wp:positionV relativeFrom="paragraph">
              <wp:posOffset>182245</wp:posOffset>
            </wp:positionV>
            <wp:extent cx="2911475" cy="2806700"/>
            <wp:effectExtent l="0" t="0" r="45085" b="43180"/>
            <wp:wrapTight wrapText="bothSides">
              <wp:wrapPolygon>
                <wp:start x="0" y="0"/>
                <wp:lineTo x="0" y="21463"/>
                <wp:lineTo x="21482" y="21463"/>
                <wp:lineTo x="21482" y="0"/>
                <wp:lineTo x="0" y="0"/>
              </wp:wrapPolygon>
            </wp:wrapTight>
            <wp:docPr id="1" name="图片 1" descr="1605098262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05098262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11475" cy="280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numPr>
          <w:ilvl w:val="255"/>
          <w:numId w:val="0"/>
        </w:numPr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eastAsia="zh-CN"/>
        </w:rPr>
      </w:pPr>
    </w:p>
    <w:p>
      <w:pPr>
        <w:numPr>
          <w:ilvl w:val="255"/>
          <w:numId w:val="0"/>
        </w:numPr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</w:p>
    <w:p>
      <w:pPr>
        <w:numPr>
          <w:ilvl w:val="255"/>
          <w:numId w:val="0"/>
        </w:numPr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</w:p>
    <w:p>
      <w:pPr>
        <w:numPr>
          <w:ilvl w:val="255"/>
          <w:numId w:val="0"/>
        </w:numPr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</w:p>
    <w:p>
      <w:pPr>
        <w:numPr>
          <w:ilvl w:val="255"/>
          <w:numId w:val="0"/>
        </w:numPr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</w:p>
    <w:p>
      <w:pPr>
        <w:numPr>
          <w:ilvl w:val="255"/>
          <w:numId w:val="0"/>
        </w:numPr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</w:p>
    <w:p>
      <w:pPr>
        <w:numPr>
          <w:ilvl w:val="255"/>
          <w:numId w:val="0"/>
        </w:numPr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hint="eastAsia" w:ascii="黑体" w:hAnsi="黑体" w:eastAsia="黑体" w:cs="黑体"/>
          <w:color w:val="333333"/>
          <w:sz w:val="32"/>
          <w:szCs w:val="32"/>
          <w:shd w:val="clear" w:color="auto" w:fill="FFFFFF"/>
          <w:lang w:val="en-US" w:eastAsia="zh-CN"/>
        </w:rPr>
      </w:pPr>
    </w:p>
    <w:p>
      <w:pPr>
        <w:adjustRightInd w:val="0"/>
        <w:snapToGrid w:val="0"/>
        <w:spacing w:line="520" w:lineRule="exact"/>
        <w:ind w:firstLine="640" w:firstLineChars="200"/>
        <w:jc w:val="left"/>
        <w:rPr>
          <w:rFonts w:ascii="黑体" w:hAnsi="黑体" w:eastAsia="黑体" w:cs="黑体"/>
          <w:color w:val="333333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color w:val="333333"/>
          <w:sz w:val="32"/>
          <w:szCs w:val="32"/>
          <w:shd w:val="clear" w:color="auto" w:fill="FFFFFF"/>
          <w:lang w:val="en-US" w:eastAsia="zh-CN"/>
        </w:rPr>
        <w:t>二</w:t>
      </w:r>
      <w:r>
        <w:rPr>
          <w:rFonts w:hint="eastAsia" w:ascii="黑体" w:hAnsi="黑体" w:eastAsia="黑体" w:cs="黑体"/>
          <w:color w:val="333333"/>
          <w:sz w:val="32"/>
          <w:szCs w:val="32"/>
          <w:shd w:val="clear" w:color="auto" w:fill="FFFFFF"/>
        </w:rPr>
        <w:t>、特定人群须提交核酸检测阴性证明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在前往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面试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地点的前14天内，如出现过发热、干咳、乏力、鼻塞、流涕、咽痛、腹泻等可疑症状，有境外或中高风险地区旅居史的人员，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面试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当天还须提供7天内的核酸检测阴性证明。未能提供相关证明的，不得参加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考试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。</w:t>
      </w:r>
    </w:p>
    <w:p>
      <w:pPr>
        <w:adjustRightInd w:val="0"/>
        <w:snapToGrid w:val="0"/>
        <w:spacing w:line="520" w:lineRule="exact"/>
        <w:ind w:firstLine="640" w:firstLineChars="200"/>
        <w:jc w:val="left"/>
        <w:rPr>
          <w:rFonts w:ascii="黑体" w:hAnsi="黑体" w:eastAsia="黑体" w:cs="黑体"/>
          <w:color w:val="333333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color w:val="333333"/>
          <w:sz w:val="32"/>
          <w:szCs w:val="32"/>
          <w:shd w:val="clear" w:color="auto" w:fill="FFFFFF"/>
          <w:lang w:val="en-US" w:eastAsia="zh-CN"/>
        </w:rPr>
        <w:t>三</w:t>
      </w:r>
      <w:r>
        <w:rPr>
          <w:rFonts w:hint="eastAsia" w:ascii="黑体" w:hAnsi="黑体" w:eastAsia="黑体" w:cs="黑体"/>
          <w:color w:val="333333"/>
          <w:sz w:val="32"/>
          <w:szCs w:val="32"/>
          <w:shd w:val="clear" w:color="auto" w:fill="FFFFFF"/>
        </w:rPr>
        <w:t>、禁止参加</w:t>
      </w:r>
      <w:r>
        <w:rPr>
          <w:rFonts w:hint="eastAsia" w:ascii="黑体" w:hAnsi="黑体" w:eastAsia="黑体" w:cs="黑体"/>
          <w:color w:val="333333"/>
          <w:sz w:val="32"/>
          <w:szCs w:val="32"/>
          <w:shd w:val="clear" w:color="auto" w:fill="FFFFFF"/>
          <w:lang w:val="en-US" w:eastAsia="zh-CN"/>
        </w:rPr>
        <w:t>面试</w:t>
      </w:r>
      <w:r>
        <w:rPr>
          <w:rFonts w:hint="eastAsia" w:ascii="黑体" w:hAnsi="黑体" w:eastAsia="黑体" w:cs="黑体"/>
          <w:color w:val="333333"/>
          <w:sz w:val="32"/>
          <w:szCs w:val="32"/>
          <w:shd w:val="clear" w:color="auto" w:fill="FFFFFF"/>
        </w:rPr>
        <w:t>的人员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以下几种情况的人员不得参加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面试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：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1.诊断为疑似/确诊新冠肺炎病例的人员；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2.诊断为新冠肺炎无症状感染者的人员；</w:t>
      </w:r>
    </w:p>
    <w:p>
      <w:pPr>
        <w:adjustRightInd w:val="0"/>
        <w:snapToGrid w:val="0"/>
        <w:spacing w:line="520" w:lineRule="exact"/>
        <w:ind w:left="638" w:leftChars="304"/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3.正处于隔离医学观察治疗、集中隔离观察期的人员；4.确定为新冠肺炎密切接触者的人员；</w:t>
      </w:r>
    </w:p>
    <w:p>
      <w:pPr>
        <w:adjustRightInd w:val="0"/>
        <w:snapToGrid w:val="0"/>
        <w:spacing w:line="520" w:lineRule="exact"/>
        <w:ind w:left="638" w:leftChars="304"/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5.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eastAsia="zh-CN"/>
        </w:rPr>
        <w:t>面试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当天体温≥37.3℃的人员。</w:t>
      </w:r>
    </w:p>
    <w:p>
      <w:pPr>
        <w:adjustRightInd w:val="0"/>
        <w:snapToGrid w:val="0"/>
        <w:spacing w:line="520" w:lineRule="exact"/>
        <w:ind w:firstLine="640" w:firstLineChars="200"/>
        <w:jc w:val="left"/>
        <w:rPr>
          <w:rFonts w:ascii="黑体" w:hAnsi="黑体" w:eastAsia="黑体" w:cs="黑体"/>
          <w:color w:val="333333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color w:val="333333"/>
          <w:sz w:val="32"/>
          <w:szCs w:val="32"/>
          <w:shd w:val="clear" w:color="auto" w:fill="FFFFFF"/>
          <w:lang w:val="en-US" w:eastAsia="zh-CN"/>
        </w:rPr>
        <w:t>四</w:t>
      </w:r>
      <w:r>
        <w:rPr>
          <w:rFonts w:hint="eastAsia" w:ascii="黑体" w:hAnsi="黑体" w:eastAsia="黑体" w:cs="黑体"/>
          <w:color w:val="333333"/>
          <w:sz w:val="32"/>
          <w:szCs w:val="32"/>
          <w:shd w:val="clear" w:color="auto" w:fill="FFFFFF"/>
        </w:rPr>
        <w:t>、做好个人防护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参加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面试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的人员应准备一次性医用口罩，做好个人防护，完成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面试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后尽快离开考场。</w:t>
      </w:r>
    </w:p>
    <w:p>
      <w:pPr>
        <w:adjustRightInd w:val="0"/>
        <w:snapToGrid w:val="0"/>
        <w:spacing w:line="520" w:lineRule="exact"/>
        <w:ind w:firstLine="640" w:firstLineChars="200"/>
        <w:jc w:val="left"/>
        <w:rPr>
          <w:rFonts w:ascii="黑体" w:hAnsi="黑体" w:eastAsia="黑体" w:cs="黑体"/>
          <w:color w:val="333333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color w:val="333333"/>
          <w:sz w:val="32"/>
          <w:szCs w:val="32"/>
          <w:shd w:val="clear" w:color="auto" w:fill="FFFFFF"/>
          <w:lang w:val="en-US" w:eastAsia="zh-CN"/>
        </w:rPr>
        <w:t>五</w:t>
      </w:r>
      <w:r>
        <w:rPr>
          <w:rFonts w:hint="eastAsia" w:ascii="黑体" w:hAnsi="黑体" w:eastAsia="黑体" w:cs="黑体"/>
          <w:color w:val="333333"/>
          <w:sz w:val="32"/>
          <w:szCs w:val="32"/>
          <w:shd w:val="clear" w:color="auto" w:fill="FFFFFF"/>
        </w:rPr>
        <w:t>、明确责任</w:t>
      </w:r>
    </w:p>
    <w:p>
      <w:pPr>
        <w:numPr>
          <w:ilvl w:val="255"/>
          <w:numId w:val="0"/>
        </w:numPr>
        <w:adjustRightInd w:val="0"/>
        <w:snapToGrid w:val="0"/>
        <w:spacing w:line="520" w:lineRule="exact"/>
        <w:ind w:left="640"/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凡隐瞒身体异常情况，或隐瞒谎报旅居史、接触史、</w:t>
      </w:r>
    </w:p>
    <w:p>
      <w:pPr>
        <w:spacing w:line="520" w:lineRule="exact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健康状况等疫情防控重点信息，或不配合工作人员进行防疫检测、询问、排查、送诊等造成严重后果的考生，将取消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面试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资格，并依法追究法律责任。</w:t>
      </w:r>
    </w:p>
    <w:sectPr>
      <w:pgSz w:w="11906" w:h="16838"/>
      <w:pgMar w:top="1474" w:right="1814" w:bottom="1587" w:left="181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3E516C"/>
    <w:rsid w:val="28F923F8"/>
    <w:rsid w:val="45C5458E"/>
    <w:rsid w:val="471548F2"/>
    <w:rsid w:val="57AE13E6"/>
    <w:rsid w:val="5B622793"/>
    <w:rsid w:val="5C3E516C"/>
    <w:rsid w:val="5F6D26AF"/>
    <w:rsid w:val="7E256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2020-11-11T09:54:00Z</dcterms:created>
  <dc:creator>小粘糕。</dc:creator>
  <cp:lastModifiedBy>大宇</cp:lastModifiedBy>
  <cp:lastPrinted>2020-11-11T12:44:00Z</cp:lastPrinted>
  <dcterms:modified xsi:type="dcterms:W3CDTF">2020-11-16T12:57:49Z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