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40" w:right="0" w:hanging="360"/>
        <w:jc w:val="left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1" w:lineRule="atLeast"/>
        <w:ind w:left="720"/>
        <w:jc w:val="center"/>
        <w:rPr>
          <w:rFonts w:ascii="Calibri" w:hAnsi="Calibri" w:cs="Calibri"/>
          <w:b w:val="0"/>
          <w:i w:val="0"/>
          <w:color w:val="000000"/>
          <w:sz w:val="17"/>
          <w:szCs w:val="17"/>
        </w:rPr>
      </w:pPr>
      <w:r>
        <w:rPr>
          <w:rStyle w:val="5"/>
          <w:rFonts w:ascii="仿宋" w:hAnsi="仿宋" w:eastAsia="仿宋" w:cs="仿宋"/>
          <w:i w:val="0"/>
          <w:color w:val="333333"/>
          <w:spacing w:val="13"/>
          <w:sz w:val="25"/>
          <w:szCs w:val="25"/>
          <w:shd w:val="clear" w:fill="FFFFFF"/>
        </w:rPr>
        <w:t>东营市育才学校招聘岗位计划一览表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440" w:right="0" w:hanging="360"/>
        <w:jc w:val="left"/>
      </w:pPr>
    </w:p>
    <w:tbl>
      <w:tblPr>
        <w:tblW w:w="7663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"/>
        <w:gridCol w:w="525"/>
        <w:gridCol w:w="1075"/>
        <w:gridCol w:w="1050"/>
        <w:gridCol w:w="1949"/>
        <w:gridCol w:w="1600"/>
        <w:gridCol w:w="50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名  称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人数</w:t>
            </w:r>
          </w:p>
        </w:tc>
        <w:tc>
          <w:tcPr>
            <w:tcW w:w="567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招聘资格要求</w:t>
            </w:r>
          </w:p>
        </w:tc>
        <w:tc>
          <w:tcPr>
            <w:tcW w:w="50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学历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学位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专业名称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其他资格条件</w:t>
            </w:r>
          </w:p>
        </w:tc>
        <w:tc>
          <w:tcPr>
            <w:tcW w:w="50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小学语文教学辅助岗位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汉语言文学、汉语言、古典文献学、古典文献、文艺学、语言学及应用语言学、汉语言文字学、中国古典文献学、中国古代文学、中国现当代文学、学科教学（语文）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取得与招聘岗位相一致的小学及以上教师资格证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小学数学教学辅助岗位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数学与应用数学、信息与计算科学、基础数学、计算数学、概率论与数理统计、应用数学、学科教学（数学）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取得与招聘岗位相一致的小学及以上教师资格证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小学英语教学辅助岗位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英语、商务英语、英语语言文学、学科教学（英语）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取得与招聘岗位相一致的小学及以上教师资格证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小学音乐教学辅助岗位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艺术学、音乐学、戏剧戏曲学、舞蹈学、学科教学（音乐）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取得与招聘岗位相一致的小学及以上教师资格证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小学书法教学辅助岗位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书法及相关专业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书法特长突出，取得语文或者美术学科小学及以上教师资格证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初中语文教学辅助岗位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汉语言文学、汉语言、古典文献学、古典文献、文艺学、语言学及应用语言学、汉语言文字学、中国古典文献学、中国古代文学、中国现当代文学、学科教学（语文）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取得与招聘岗位相一致的初中及以上教师资格证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初中英语教学辅助岗位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英语、商务英语、英语语言文学、学科教学（英语）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取得与招聘岗位相一致的初中及以上教师资格证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初中历史教学辅助岗位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普通全日制本科及以上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  <w:t>学士及以上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历史学、世界史、世界历史、考古学、博物馆学、文物与博物馆学、史学理论及史学史、考古学及博物馆学、历史文献学、中国古代史、中国近现代史、学科教学（历史）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7"/>
                <w:szCs w:val="17"/>
              </w:rPr>
              <w:t>取得与招聘岗位相一致的初中及以上教师资格证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default" w:ascii="Calibri" w:hAnsi="Calibri" w:eastAsia="微软雅黑" w:cs="Calibri"/>
          <w:sz w:val="17"/>
          <w:szCs w:val="17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34D88"/>
    <w:multiLevelType w:val="multilevel"/>
    <w:tmpl w:val="4FA34D88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F71C9"/>
    <w:rsid w:val="2D5F71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1C1C1C"/>
      <w:u w:val="none"/>
    </w:rPr>
  </w:style>
  <w:style w:type="character" w:styleId="7">
    <w:name w:val="Hyperlink"/>
    <w:basedOn w:val="4"/>
    <w:uiPriority w:val="0"/>
    <w:rPr>
      <w:color w:val="1C1C1C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2019-08-19T01:25:00Z</dcterms:created>
  <dc:creator>ASUS</dc:creator>
  <cp:lastModifiedBy>ASUS</cp:lastModifiedBy>
  <dcterms:modified xsi:type="dcterms:W3CDTF">2019-08-19T01:25:47Z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