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88" w:beforeAutospacing="0" w:after="190" w:afterAutospacing="0"/>
        <w:ind w:left="0" w:right="0"/>
        <w:jc w:val="left"/>
      </w:pPr>
      <w:r>
        <w:t>各职位具体考核形式见下表。 </w:t>
      </w:r>
    </w:p>
    <w:tbl>
      <w:tblPr>
        <w:tblW w:w="8505" w:type="dxa"/>
        <w:jc w:val="center"/>
        <w:tblInd w:w="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5"/>
        <w:gridCol w:w="3827"/>
        <w:gridCol w:w="2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8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职位类别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测试形式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81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A类职位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专业技能测试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2" w:hRule="atLeast"/>
          <w:jc w:val="center"/>
        </w:trPr>
        <w:tc>
          <w:tcPr>
            <w:tcW w:w="19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B类职位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成功报名人数与职位招聘数≥13：1的职位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小组集体讨论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成功报名人数与职位招聘数&lt;13：1的职位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10" w:lineRule="atLeast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问答和特长展示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BF56C4"/>
    <w:rsid w:val="54BF56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2019-05-01T03:12:00Z</dcterms:created>
  <dc:creator>ASUS</dc:creator>
  <cp:lastModifiedBy>ASUS</cp:lastModifiedBy>
  <dcterms:modified xsi:type="dcterms:W3CDTF">2019-05-01T03:12:29Z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