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ascii="Arial" w:hAnsi="Arial" w:cs="Arial"/>
          <w:i w:val="0"/>
          <w:caps w:val="0"/>
          <w:color w:val="002F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2F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招聘岗位、人数及要求</w:t>
      </w:r>
    </w:p>
    <w:tbl>
      <w:tblPr>
        <w:tblW w:w="90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850"/>
        <w:gridCol w:w="1251"/>
        <w:gridCol w:w="2293"/>
        <w:gridCol w:w="992"/>
        <w:gridCol w:w="709"/>
        <w:gridCol w:w="1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可讲授课程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专业技术要求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食品类专任教师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食品质量与安全相关专业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食品化学、食品营养学、食品微生物学、食品安全学、食品工艺以及食品质量管理等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博士、教授、副教授年薪约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讲师年薪约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10--12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应届毕业生年薪约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6-8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具体待遇可面议。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会计学类专任教师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会计学、财务管理相关专业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中级财务会计、审计学、管理会计、财务管理、</w:t>
            </w: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经济学类专任教师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经济学相关专业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经济学及相关课程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管理类专任教师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管理学、工商管理相关专业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管理学、管理信息系统、组织行为学、人力资源管理、企业战略管理、跨国公司管理及相关课程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英语类专任教师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2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商务英语类课程、大学英语、雅思英语等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2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计算机类专任教师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计算机网络相关专业</w:t>
            </w:r>
          </w:p>
        </w:tc>
        <w:tc>
          <w:tcPr>
            <w:tcW w:w="22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计算机应用技术、计算机网络、计算机网络安全等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2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Arial" w:hAnsi="Arial" w:cs="Arial"/>
          <w:i w:val="0"/>
          <w:caps w:val="0"/>
          <w:color w:val="002F4C"/>
          <w:spacing w:val="0"/>
          <w:sz w:val="24"/>
          <w:szCs w:val="24"/>
        </w:rPr>
      </w:pPr>
      <w:r>
        <w:rPr>
          <w:rFonts w:hint="default" w:ascii="Arial" w:hAnsi="Arial" w:cs="Arial" w:eastAsiaTheme="minorEastAsia"/>
          <w:i w:val="0"/>
          <w:caps w:val="0"/>
          <w:color w:val="002F4C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2018-12-20T09:11:31Z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