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E7E4DE"/>
        <w:spacing w:before="0" w:beforeAutospacing="0" w:after="225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E7E4DE"/>
        </w:rPr>
        <w:t>招聘岗位、人数及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E7E4DE"/>
          <w:lang w:eastAsia="zh-CN"/>
        </w:rPr>
        <w:t>条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E7E4DE"/>
        </w:rPr>
        <w:t>件 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E7E4DE"/>
        </w:rPr>
        <w:t> </w:t>
      </w:r>
      <w:bookmarkEnd w:id="0"/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E7E4DE"/>
        </w:rPr>
        <w:t xml:space="preserve">                                                                              </w:t>
      </w:r>
    </w:p>
    <w:tbl>
      <w:tblPr>
        <w:tblW w:w="9208" w:type="dxa"/>
        <w:jc w:val="center"/>
        <w:tblCellSpacing w:w="0" w:type="dxa"/>
        <w:tblInd w:w="-3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7E4D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734"/>
        <w:gridCol w:w="734"/>
        <w:gridCol w:w="1260"/>
        <w:gridCol w:w="960"/>
        <w:gridCol w:w="4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7E4DE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405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405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招聘岗位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405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招聘计划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405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需求专业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405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405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其他条件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音乐学院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舞蹈编导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本科及以上学历学位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 ①北京舞蹈学院毕业的本科生；或北京舞蹈学院、中央民族大学、东北师范大学毕业的硕士研究生；或本科毕业于专业艺术院校且有国家级院团3年以上工作经历；或主创（或主演作品）获得中国舞蹈“荷花奖”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②年龄27周岁以下（有国家级院团经历或者主创（或主演作品）获得中国舞蹈“荷花奖”者年龄可适当放宽）。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声乐演唱与教学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(民族男高音)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本科及以上学历学位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 ①中央音乐学院、中国音乐学院、上海音乐学院的本科生；或中央音乐学院、上海音乐学院、中国音乐学院、武汉音乐学院、西安音乐学院、星海音乐学院、浙江音乐学院毕业的硕士研究生；或本科毕业于专业艺术院校且有国家级院团3年以上工作经历；或演唱作品获得文化部“金钟奖”、“文华奖”、“梅花奖”、“孔雀奖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。②年龄27周岁以下（有国家级院团经历或者演唱作品获得文化部“金钟奖”、“文华奖”、“梅花奖”、“孔雀奖”者年龄可适当放宽）。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tblCellSpacing w:w="0" w:type="dxa"/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体育学院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足球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①省级及以上专业队足球主教练员经历者；或甲级及以上成年队职业足球俱乐部运动员（含退役）；或北京体育大学、上海体育学院、武汉体育学院、沈阳体育学院、成都体育学院等专业体育院校足球专项；或985高校高水平足球运动队队员（主力队员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②年龄27周岁以下，有省级及以上专业运动队教练员经历者，年龄可适当放宽。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  <w:tblCellSpacing w:w="0" w:type="dxa"/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工业设计或产品设计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①八大美院、专业院校及985院校硕士研究生毕业，且作品参加国家级展览入选或省一级专业协会会员。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②年龄27周岁以下。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八大美院指：中央美术学院、清华大学美术学院、中国美术学院、四川美术学院、湖北美术学院、鲁迅美术学院、广州美术学院、西安美术学院。专业院校指：中国传媒大学、北京服装学院、天津美术学院、南京艺术学院、广西艺术学院、吉林艺术学院、解放军艺术学院。国家级展览主办方为：中宣部、文化部、教育部、国家工信委、中国美术家协会、中国工业设计协会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新闻与传播学院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新闻学或新闻传播学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①本、硕毕业于985或211院校，能独立完成新闻摄影摄像及后期制作，在专业相关领域省级及以上刊物发表1篇(含1篇)以上学术论文。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②年龄27周岁以下。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  <w:jc w:val="center"/>
        </w:trPr>
        <w:tc>
          <w:tcPr>
            <w:tcW w:w="87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广播电视艺术、广播电视语言传播或播音主持艺术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①第一学历（本科）毕业于985或211院校，且普通话一乙（含）以上，主持过大型活动，在“夏青杯”朗诵比赛中获三等奖以上或在省、部级举办的朗诵、演讲、配音等比赛中获二等奖以上。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②年龄27周岁以下。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  <w:jc w:val="center"/>
        </w:trPr>
        <w:tc>
          <w:tcPr>
            <w:tcW w:w="92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7E4DE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300" w:lineRule="atLeast"/>
              <w:ind w:left="0" w:right="0" w:firstLine="42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  <w:t>备注：应聘人员需同时取得学历学位证书（含国外学历学位认证），本硕专业一致或相近且第一学历须为全日制本科学历；以上所要求学历学位、年龄计算截止时间为2019年7月31日。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039FF"/>
    <w:rsid w:val="58A0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2018-10-22T08:04:00Z</dcterms:created>
  <dc:creator>Administrator</dc:creator>
  <cp:lastModifiedBy>Administrator</cp:lastModifiedBy>
  <dcterms:modified xsi:type="dcterms:W3CDTF">2018-10-22T08:04:45Z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