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5" w:afterAutospacing="0" w:line="336" w:lineRule="atLeast"/>
        <w:ind w:left="0" w:right="0" w:firstLine="0"/>
        <w:jc w:val="center"/>
        <w:rPr>
          <w:rFonts w:ascii="微软雅黑" w:hAnsi="微软雅黑" w:eastAsia="微软雅黑" w:cs="微软雅黑"/>
          <w:b w:val="0"/>
          <w:i w:val="0"/>
          <w:caps w:val="0"/>
          <w:color w:val="1157B0"/>
          <w:spacing w:val="0"/>
          <w:sz w:val="37"/>
          <w:szCs w:val="37"/>
        </w:rPr>
      </w:pPr>
      <w:bookmarkStart w:id="0" w:name="_GoBack"/>
      <w:r>
        <w:rPr>
          <w:rFonts w:hint="eastAsia" w:ascii="微软雅黑" w:hAnsi="微软雅黑" w:eastAsia="微软雅黑" w:cs="微软雅黑"/>
          <w:b w:val="0"/>
          <w:i w:val="0"/>
          <w:caps w:val="0"/>
          <w:color w:val="1157B0"/>
          <w:spacing w:val="0"/>
          <w:sz w:val="37"/>
          <w:szCs w:val="37"/>
          <w:bdr w:val="none" w:color="auto" w:sz="0" w:space="0"/>
        </w:rPr>
        <w:t>2018年常德市鼎城区公开招聘教师简章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根据常德市人力资源和社会保障局《关于鼎城区教育卫生系统公开招聘工作人员的批复》(常人社事函[2018]14号)，我区部分学校拟向社会公开招聘教师174名。为做好招聘工作，现将招聘有关事项公告如下：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一、招聘单位情况简介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招聘单位情况简介见附表。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二、招聘岗位及数量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共招聘教师174名。(具体岗位见附表)。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三、招聘原则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按照“任人唯贤、德才兼备”的用人标准，坚持“公开、公平、公正、竞争、择优”的原则，采取考试和考核相结合的方式进行。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四、招聘条件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(一)基本条件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1、具有中华人民共和国国籍；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2、遵守中华人民共和国宪法和法律；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3、具有良好的品行和职业道德；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4、具备岗位所需的专业或技能条件。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(二)具体条件：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具体条件见附表。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五、招聘程序和办法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(一)发布信息(5月8日——5月18日)：将招聘信息通过常德市人社局、鼎城区人民政府、鼎城区教育局、鼎城区人社局网站向社会发布。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二)公开报名(5月19日——5月22日)：采取现场报名的方式进行。应聘者须携带本人有效身份证、学历证书(2018年毕业生携带《大学生就业推荐表》)、教育部学历证书电子注册表(2018年毕业生提供教育部学籍在线验证报告)、教师资格证相关证件原件及复印件各一份，本人近期免冠同底一寸照片3张到鼎城区教育局报名，报名费200元。每人限报考一个职位。在职在编人员报名应持所在县(市、区)教育局出具的同意报考证明报考。报名时须如实填写《湖南省事业单位招聘人员报名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三)资格审查：笔试前由区教育局和区人社局在报名时共同对报名者进行资格初审。资格审查贯穿招聘工作全过程，如有弄虚作假或不符合报名条件者，一经发现，随时取消资格。资格初审合格人员名单在区教育局和区人社局网站公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四)确定开考比例：按资格初审合格人数与招聘岗位计划数不低于3：1的比例确定。同一层次、同一学科男或女教师岗位因达不到开考比例需要核减(取消)计划的，相互之间可调剂使用，被调剂的岗位须达到开考比例，否则，核减(取消)该招聘计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五)考试：包括笔试和面试两部分，总分为100分。考试时间、地点以准考证为准。各个环节的考试成绩将在区教育局和区人社局的网站予以公示。请资格初审合格人员于2018年5月24日、5月25日上班时间凭本人报名缴费发票和本人身份证到鼎城区教育局组织人事股领取准考证，逾期未领取者则视为自动放弃参考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1、笔试(5月26日)：闭卷考试，内容为相应岗位专业知识，凭本人身份证和准考证参加考试。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2、面试(6月2日——3日)：根据应聘同一岗位笔试成绩从高分到低分，按招聘岗位计划数1：2的比例确定面试对象，笔试成绩相同的，均进入面试。面试入围人员将在5月26日当晚电话通知给本人。幼儿园教师岗位面试内容为“五项全能”，其他教师岗位面试方式为说课。其中美术教师岗位增加速写，音乐教师岗位增加弹唱合一和才艺展示，体育教师岗位增加技能展示。面试时凭本人身份证和准考证参加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3、成绩合成：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综合成绩=笔试成绩×50%+面试成绩×50%；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美术、音乐、体育教师岗位面试成绩=说课×80%+才艺展示×20%；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考试成绩按四舍五入法保留小数点后两位。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(六)体检(6月下旬)：根据应聘同一岗位综合成绩从高分到低分，按招聘岗位计划数等额确定体检对象，综合成绩相同的，以笔试成绩高者为先。体检参照公务员录用体检通用标准(试行)执行。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七)考核(7月)：体检合格人员由区教育局和区人社局对其思想政治表现、道德品质、业务能力、工作实绩和是否违反计划生育政策等情况进行考核，并对拟聘人员资格条件进行资格复审(如不能在7月31日之前提交所有证件原件的，视为自动放弃，将取消其应聘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(八)递补：如有体检或考核不合格者，或主动放弃者，不予聘用。所有空缺岗位不予递补。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(九)公示：根据考试、体检和考核结果，由区教育局确定拟聘用人员名单，并将拟聘用人员名单按要求提交区人社局进行审查。审查合格拟聘人员名单在鼎城区教育局和人社局网站公示，公示期不少于7个工作日。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十)聘用审批：公示期满无异议的，由用人单位填报《湖南省事业单位聘用人员名册》和《湖南省事业单位聘用人员登记表》，连同“拟聘人员公示情况报告”和本人档案经区教育局审核，区人社局审批，报市人社局备案后，根据考试成绩排名顺序由拟聘人员自主选择有招聘计划的学校，办理相关聘用手续。根据拟聘人员职称、学历等结合单位岗位设置情况兑现其工资福利待遇。应聘者一经聘用，需在聘用单位工作五年以上方可申请异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其他未尽事宜，按省市有关文件执行。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咨询电话：0736-7379268(区教育局)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0736-7384915(区人社局)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监督电话：0736-7395586(区纪委驻教育局纪检组)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0736-7381337(区纪委)</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pPr>
      <w:r>
        <w:rPr>
          <w:bdr w:val="none" w:color="auto" w:sz="0" w:space="0"/>
        </w:rPr>
        <w:t>附：2018年鼎城区教育系统公开招聘教师岗位条件及数量表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jc w:val="right"/>
      </w:pPr>
      <w:r>
        <w:rPr>
          <w:bdr w:val="none" w:color="auto" w:sz="0" w:space="0"/>
        </w:rPr>
        <w:t>常德市鼎城区教育局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jc w:val="right"/>
      </w:pPr>
      <w:r>
        <w:rPr>
          <w:bdr w:val="none" w:color="auto" w:sz="0" w:space="0"/>
        </w:rPr>
        <w:t>2018年 5月7日</w:t>
      </w:r>
    </w:p>
    <w:bookmarkEnd w:id="0"/>
    <w:tbl>
      <w:tblPr>
        <w:tblW w:w="9180" w:type="dxa"/>
        <w:tblInd w:w="0"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302"/>
        <w:gridCol w:w="798"/>
        <w:gridCol w:w="959"/>
        <w:gridCol w:w="620"/>
        <w:gridCol w:w="905"/>
        <w:gridCol w:w="777"/>
        <w:gridCol w:w="514"/>
        <w:gridCol w:w="462"/>
        <w:gridCol w:w="2461"/>
        <w:gridCol w:w="1382"/>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18" w:hRule="atLeast"/>
        </w:trPr>
        <w:tc>
          <w:tcPr>
            <w:tcW w:w="9180" w:type="dxa"/>
            <w:gridSpan w:val="10"/>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ascii="微软雅黑" w:hAnsi="微软雅黑" w:eastAsia="微软雅黑" w:cs="微软雅黑"/>
                <w:b w:val="0"/>
                <w:i w:val="0"/>
                <w:caps w:val="0"/>
                <w:color w:val="333333"/>
                <w:spacing w:val="0"/>
                <w:sz w:val="21"/>
                <w:szCs w:val="21"/>
              </w:rPr>
            </w:pPr>
            <w:r>
              <w:rPr>
                <w:rStyle w:val="6"/>
                <w:rFonts w:hint="eastAsia" w:ascii="微软雅黑" w:hAnsi="微软雅黑" w:eastAsia="微软雅黑" w:cs="微软雅黑"/>
                <w:b/>
                <w:i w:val="0"/>
                <w:caps w:val="0"/>
                <w:color w:val="333333"/>
                <w:spacing w:val="0"/>
                <w:kern w:val="0"/>
                <w:sz w:val="21"/>
                <w:szCs w:val="21"/>
                <w:bdr w:val="none" w:color="auto" w:sz="0" w:space="0"/>
                <w:lang w:val="en-US" w:eastAsia="zh-CN" w:bidi="ar"/>
              </w:rPr>
              <w:t>2018年鼎城区教育系统公开招聘教师岗位条件及数量表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86" w:hRule="atLeast"/>
        </w:trPr>
        <w:tc>
          <w:tcPr>
            <w:tcW w:w="30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序号</w:t>
            </w:r>
          </w:p>
        </w:tc>
        <w:tc>
          <w:tcPr>
            <w:tcW w:w="798"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主管单位</w:t>
            </w:r>
          </w:p>
        </w:tc>
        <w:tc>
          <w:tcPr>
            <w:tcW w:w="157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招聘单位</w:t>
            </w:r>
          </w:p>
        </w:tc>
        <w:tc>
          <w:tcPr>
            <w:tcW w:w="1682"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招聘岗位</w:t>
            </w:r>
          </w:p>
        </w:tc>
        <w:tc>
          <w:tcPr>
            <w:tcW w:w="4819"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招聘岗位条件</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303"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单位名称</w:t>
            </w:r>
          </w:p>
        </w:tc>
        <w:tc>
          <w:tcPr>
            <w:tcW w:w="6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单位情况简介</w:t>
            </w: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名称</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计划数</w:t>
            </w:r>
          </w:p>
        </w:tc>
        <w:tc>
          <w:tcPr>
            <w:tcW w:w="5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年龄</w:t>
            </w:r>
          </w:p>
        </w:tc>
        <w:tc>
          <w:tcPr>
            <w:tcW w:w="4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最低学历</w:t>
            </w:r>
          </w:p>
        </w:tc>
        <w:tc>
          <w:tcPr>
            <w:tcW w:w="24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专业要求</w:t>
            </w:r>
          </w:p>
        </w:tc>
        <w:tc>
          <w:tcPr>
            <w:tcW w:w="13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其他要求</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w:t>
            </w:r>
          </w:p>
        </w:tc>
        <w:tc>
          <w:tcPr>
            <w:tcW w:w="798"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区教育局(174人)</w:t>
            </w:r>
          </w:p>
        </w:tc>
        <w:tc>
          <w:tcPr>
            <w:tcW w:w="959"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区部分乡镇（街道）中学</w:t>
            </w:r>
          </w:p>
        </w:tc>
        <w:tc>
          <w:tcPr>
            <w:tcW w:w="620"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全额拨款事业单位</w:t>
            </w: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初中语文教师1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3（男）</w:t>
            </w:r>
          </w:p>
        </w:tc>
        <w:tc>
          <w:tcPr>
            <w:tcW w:w="514"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30岁及以下</w:t>
            </w:r>
          </w:p>
        </w:tc>
        <w:tc>
          <w:tcPr>
            <w:tcW w:w="46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全日制本科</w:t>
            </w: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中国语言文学类、新闻传播学类、课程与教学论（语文）</w:t>
            </w:r>
          </w:p>
        </w:tc>
        <w:tc>
          <w:tcPr>
            <w:tcW w:w="138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具有初中及以上层次相应学科教师资格证。</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初中语文教师2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12（女）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初中数学教师1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数学类</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初中数学教师2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12（女）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初中英语教师1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外国语言文学类（限英语类别）</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初中英语教师2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8（女）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初中物理教师1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理学大类、工学大类、教育学类</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初中物理教师2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初中化学教师1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化学类、材料类、化工与制药类</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初中化学教师2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初中生物教师1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生物科学类、食品检验与生物类</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初中生物教师2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初中政治教师1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政治学类、社会学类、人文教育</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初中政治教师2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初中地理教师1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理学大类、工学大类、教育学类</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初中地理教师2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初中历史教师1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历史学类、哲学类、人文教育</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初中历史教师2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初中音乐教师1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艺术类（音乐学、音乐表演、器乐演奏等音乐方向）</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初中音乐教师2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初中美术教师1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艺术类（美术学、艺术设计学等美术方向）</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初中美术教师2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初中体育教师1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6（男）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体育学类</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初中体育教师2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6（女）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初中信息教师1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电子、通信、计算机类、教育技术学</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初中信息教师2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730"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初中体育教师（足球）</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体育学类（足球方向）</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小学语文教师1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全日制大专</w:t>
            </w: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中国语言文学（化）类、语文教育、课程与教学论（语文）、小学教育、初等教育</w:t>
            </w:r>
          </w:p>
        </w:tc>
        <w:tc>
          <w:tcPr>
            <w:tcW w:w="138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具有小学及以上层次相应学科教师资格证。</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小学语文教师2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12（女）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小学数学教师1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数学类、数学教育、课程与教学论（数学）、小学教育、初等教育</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小学数学教师2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12（女）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小学英语教师1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外国语言文学（化）类、英语教育、小学教育、初等教育</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小学英语教师2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8（女）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小学科学教师1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科学教育、小学教育、初等教育</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小学科学教师2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小学音乐教师1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艺术类（音乐学、音乐表演、器乐演奏等音乐方向）</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86"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小学音乐教师2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6（女）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小学美术教师1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艺术类（美术学、艺术设计学等美术方向）</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小学美术教师2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6（女）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小学体育教师1</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8（男）</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体育（学）类</w:t>
            </w: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58"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小学体育教师2</w:t>
            </w:r>
          </w:p>
        </w:tc>
        <w:tc>
          <w:tcPr>
            <w:tcW w:w="7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6（女）</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12"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幼儿教师</w:t>
            </w:r>
          </w:p>
        </w:tc>
        <w:tc>
          <w:tcPr>
            <w:tcW w:w="777"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14</w:t>
            </w: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大专</w:t>
            </w:r>
          </w:p>
        </w:tc>
        <w:tc>
          <w:tcPr>
            <w:tcW w:w="2461"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学前教育、早期教育</w:t>
            </w:r>
          </w:p>
        </w:tc>
        <w:tc>
          <w:tcPr>
            <w:tcW w:w="138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具有幼儿教师资格证。</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56" w:hRule="atLeast"/>
        </w:trPr>
        <w:tc>
          <w:tcPr>
            <w:tcW w:w="30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98"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59"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620"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905"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777"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514"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46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2461"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c>
          <w:tcPr>
            <w:tcW w:w="138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12" w:hRule="atLeast"/>
        </w:trPr>
        <w:tc>
          <w:tcPr>
            <w:tcW w:w="9180" w:type="dxa"/>
            <w:gridSpan w:val="10"/>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注：1、年龄30岁及以下指1988年1月1日及以后出生；2、专业名称主要参考《2018年湖南省考试录用公务员专业指导目录》3、同一层次、同一学科男或女教师岗位因达不到开考比例需要核减（取消）计划的，相互之间可调剂使用，被调剂的岗位须达到开考比例，否则，核减（取消）该招聘计划。</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041" w:hRule="atLeast"/>
        </w:trPr>
        <w:tc>
          <w:tcPr>
            <w:tcW w:w="9180" w:type="dxa"/>
            <w:gridSpan w:val="10"/>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微软雅黑" w:hAnsi="微软雅黑" w:eastAsia="微软雅黑" w:cs="微软雅黑"/>
                <w:b w:val="0"/>
                <w:i w:val="0"/>
                <w:caps w:val="0"/>
                <w:color w:val="333333"/>
                <w:spacing w:val="0"/>
                <w:sz w:val="2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宋体 ! important">
    <w:altName w:val="宋体"/>
    <w:panose1 w:val="00000000000000000000"/>
    <w:charset w:val="00"/>
    <w:family w:val="auto"/>
    <w:pitch w:val="default"/>
    <w:sig w:usb0="00000000" w:usb1="00000000" w:usb2="00000000" w:usb3="00000000" w:csb0="00000000" w:csb1="00000000"/>
  </w:font>
  <w:font w:name="Microsoft YaHei ! importa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F712B7"/>
    <w:rsid w:val="1CF71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5">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000000"/>
      <w:u w:val="none"/>
    </w:rPr>
  </w:style>
  <w:style w:type="character" w:styleId="8">
    <w:name w:val="Emphasis"/>
    <w:basedOn w:val="5"/>
    <w:qFormat/>
    <w:uiPriority w:val="0"/>
  </w:style>
  <w:style w:type="character" w:styleId="9">
    <w:name w:val="HTML Definition"/>
    <w:basedOn w:val="5"/>
    <w:uiPriority w:val="0"/>
  </w:style>
  <w:style w:type="character" w:styleId="10">
    <w:name w:val="HTML Acronym"/>
    <w:basedOn w:val="5"/>
    <w:uiPriority w:val="0"/>
    <w:rPr>
      <w:bdr w:val="none" w:color="auto" w:sz="0" w:space="0"/>
    </w:rPr>
  </w:style>
  <w:style w:type="character" w:styleId="11">
    <w:name w:val="HTML Variable"/>
    <w:basedOn w:val="5"/>
    <w:uiPriority w:val="0"/>
  </w:style>
  <w:style w:type="character" w:styleId="12">
    <w:name w:val="Hyperlink"/>
    <w:basedOn w:val="5"/>
    <w:uiPriority w:val="0"/>
    <w:rPr>
      <w:color w:val="000000"/>
      <w:u w:val="none"/>
    </w:rPr>
  </w:style>
  <w:style w:type="character" w:styleId="13">
    <w:name w:val="HTML Code"/>
    <w:basedOn w:val="5"/>
    <w:uiPriority w:val="0"/>
    <w:rPr>
      <w:rFonts w:ascii="Courier New" w:hAnsi="Courier New"/>
      <w:sz w:val="20"/>
    </w:rPr>
  </w:style>
  <w:style w:type="character" w:styleId="14">
    <w:name w:val="HTML Cite"/>
    <w:basedOn w:val="5"/>
    <w:uiPriority w:val="0"/>
  </w:style>
  <w:style w:type="character" w:customStyle="1" w:styleId="16">
    <w:name w:val="bsharetext"/>
    <w:basedOn w:val="5"/>
    <w:uiPriority w:val="0"/>
  </w:style>
  <w:style w:type="character" w:customStyle="1" w:styleId="17">
    <w:name w:val="bds_more"/>
    <w:basedOn w:val="5"/>
    <w:uiPriority w:val="0"/>
    <w:rPr>
      <w:bdr w:val="none" w:color="auto" w:sz="0" w:space="0"/>
    </w:rPr>
  </w:style>
  <w:style w:type="character" w:customStyle="1" w:styleId="18">
    <w:name w:val="bds_more1"/>
    <w:basedOn w:val="5"/>
    <w:uiPriority w:val="0"/>
    <w:rPr>
      <w:rFonts w:hint="eastAsia" w:ascii="宋体" w:hAnsi="宋体" w:eastAsia="宋体" w:cs="宋体"/>
      <w:bdr w:val="none" w:color="auto" w:sz="0" w:space="0"/>
    </w:rPr>
  </w:style>
  <w:style w:type="character" w:customStyle="1" w:styleId="19">
    <w:name w:val="bds_more2"/>
    <w:basedOn w:val="5"/>
    <w:uiPriority w:val="0"/>
    <w:rPr>
      <w:rFonts w:ascii="宋体 ! important" w:hAnsi="宋体 ! important" w:eastAsia="宋体 ! important" w:cs="宋体 ! important"/>
      <w:color w:val="454545"/>
      <w:sz w:val="21"/>
      <w:szCs w:val="21"/>
      <w:bdr w:val="none" w:color="auto" w:sz="0" w:space="0"/>
    </w:rPr>
  </w:style>
  <w:style w:type="character" w:customStyle="1" w:styleId="20">
    <w:name w:val="bds_nopic"/>
    <w:basedOn w:val="5"/>
    <w:uiPriority w:val="0"/>
  </w:style>
  <w:style w:type="character" w:customStyle="1" w:styleId="21">
    <w:name w:val="bds_nopic1"/>
    <w:basedOn w:val="5"/>
    <w:uiPriority w:val="0"/>
  </w:style>
  <w:style w:type="character" w:customStyle="1" w:styleId="22">
    <w:name w:val="bds_nopic2"/>
    <w:basedOn w:val="5"/>
    <w:uiPriority w:val="0"/>
  </w:style>
  <w:style w:type="character" w:customStyle="1" w:styleId="23">
    <w:name w:val="layui-layer-tabnow"/>
    <w:basedOn w:val="5"/>
    <w:uiPriority w:val="0"/>
    <w:rPr>
      <w:bdr w:val="single" w:color="CCCCCC" w:sz="6" w:space="0"/>
      <w:shd w:val="clear" w:fill="FFFFFF"/>
    </w:rPr>
  </w:style>
  <w:style w:type="character" w:customStyle="1" w:styleId="24">
    <w:name w:val="first-child"/>
    <w:basedOn w:val="5"/>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83</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2018-05-09T01:38:00Z</dcterms:created>
  <dc:creator>水无鱼</dc:creator>
  <cp:lastModifiedBy>水无鱼</cp:lastModifiedBy>
  <dcterms:modified xsi:type="dcterms:W3CDTF">2018-05-09T03:12:28Z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