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DCE" w:rsidRDefault="00BF0DCE" w:rsidP="00BF0DCE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附件1</w:t>
      </w:r>
    </w:p>
    <w:p w:rsidR="00BF0DCE" w:rsidRPr="00BF0DCE" w:rsidRDefault="00BF0DCE" w:rsidP="00BF0DCE">
      <w:pPr>
        <w:jc w:val="center"/>
        <w:rPr>
          <w:rFonts w:ascii="仿宋_GB2312" w:eastAsia="仿宋_GB2312"/>
          <w:sz w:val="32"/>
          <w:szCs w:val="32"/>
        </w:rPr>
      </w:pPr>
      <w:r w:rsidRPr="00BF0DCE">
        <w:rPr>
          <w:rFonts w:ascii="仿宋" w:eastAsia="仿宋" w:hAnsi="仿宋" w:cs="宋体" w:hint="eastAsia"/>
          <w:sz w:val="32"/>
          <w:szCs w:val="32"/>
        </w:rPr>
        <w:t>上虞区职业教育中心2018年教师招聘岗位计划及要求</w:t>
      </w:r>
    </w:p>
    <w:tbl>
      <w:tblPr>
        <w:tblW w:w="0" w:type="auto"/>
        <w:jc w:val="center"/>
        <w:tblLayout w:type="fixed"/>
        <w:tblLook w:val="0000"/>
      </w:tblPr>
      <w:tblGrid>
        <w:gridCol w:w="236"/>
        <w:gridCol w:w="1363"/>
        <w:gridCol w:w="924"/>
        <w:gridCol w:w="1134"/>
        <w:gridCol w:w="1290"/>
        <w:gridCol w:w="6"/>
        <w:gridCol w:w="5008"/>
        <w:gridCol w:w="6"/>
      </w:tblGrid>
      <w:tr w:rsidR="00BF0DCE" w:rsidTr="00F437F6">
        <w:trPr>
          <w:trHeight w:val="600"/>
          <w:jc w:val="center"/>
        </w:trPr>
        <w:tc>
          <w:tcPr>
            <w:tcW w:w="231" w:type="dxa"/>
            <w:vMerge w:val="restart"/>
            <w:tcBorders>
              <w:top w:val="nil"/>
              <w:right w:val="single" w:sz="8" w:space="0" w:color="000000"/>
            </w:tcBorders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宋体"/>
                <w:kern w:val="0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BF0DCE" w:rsidRDefault="00BF0DCE" w:rsidP="00F437F6">
            <w:pPr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招聘岗位</w:t>
            </w:r>
          </w:p>
        </w:tc>
        <w:tc>
          <w:tcPr>
            <w:tcW w:w="92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BF0DCE" w:rsidRDefault="00BF0DCE" w:rsidP="00F437F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招聘计划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学历学位要求</w:t>
            </w:r>
          </w:p>
        </w:tc>
        <w:tc>
          <w:tcPr>
            <w:tcW w:w="129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年龄</w:t>
            </w:r>
          </w:p>
        </w:tc>
        <w:tc>
          <w:tcPr>
            <w:tcW w:w="501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专业要求</w:t>
            </w:r>
          </w:p>
        </w:tc>
      </w:tr>
      <w:tr w:rsidR="00BF0DCE" w:rsidTr="00F437F6">
        <w:trPr>
          <w:gridAfter w:val="1"/>
          <w:wAfter w:w="6" w:type="dxa"/>
          <w:trHeight w:val="893"/>
          <w:jc w:val="center"/>
        </w:trPr>
        <w:tc>
          <w:tcPr>
            <w:tcW w:w="231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财会</w:t>
            </w:r>
          </w:p>
        </w:tc>
        <w:tc>
          <w:tcPr>
            <w:tcW w:w="9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本科及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以上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以下</w:t>
            </w:r>
          </w:p>
        </w:tc>
        <w:tc>
          <w:tcPr>
            <w:tcW w:w="501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财务管理、会计学、财务会计教育、财务会计、审计学、金融学类、财政学类、</w:t>
            </w:r>
          </w:p>
        </w:tc>
      </w:tr>
      <w:tr w:rsidR="00BF0DCE" w:rsidTr="00F437F6">
        <w:trPr>
          <w:gridAfter w:val="1"/>
          <w:wAfter w:w="6" w:type="dxa"/>
          <w:trHeight w:val="832"/>
          <w:jc w:val="center"/>
        </w:trPr>
        <w:tc>
          <w:tcPr>
            <w:tcW w:w="231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电子商务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本科及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以上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以下</w:t>
            </w:r>
          </w:p>
        </w:tc>
        <w:tc>
          <w:tcPr>
            <w:tcW w:w="5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电子商务、电子商务及法律</w:t>
            </w:r>
          </w:p>
        </w:tc>
      </w:tr>
      <w:tr w:rsidR="00BF0DCE" w:rsidTr="00F437F6">
        <w:trPr>
          <w:gridAfter w:val="1"/>
          <w:wAfter w:w="6" w:type="dxa"/>
          <w:trHeight w:val="842"/>
          <w:jc w:val="center"/>
        </w:trPr>
        <w:tc>
          <w:tcPr>
            <w:tcW w:w="231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市场营销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本科及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以上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以下</w:t>
            </w:r>
          </w:p>
        </w:tc>
        <w:tc>
          <w:tcPr>
            <w:tcW w:w="5014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left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市场营销、市场营销教育</w:t>
            </w:r>
          </w:p>
        </w:tc>
      </w:tr>
      <w:tr w:rsidR="00BF0DCE" w:rsidTr="00F437F6">
        <w:trPr>
          <w:gridAfter w:val="1"/>
          <w:wAfter w:w="6" w:type="dxa"/>
          <w:trHeight w:val="842"/>
          <w:jc w:val="center"/>
        </w:trPr>
        <w:tc>
          <w:tcPr>
            <w:tcW w:w="231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国际贸易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本科及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以上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以下</w:t>
            </w:r>
          </w:p>
        </w:tc>
        <w:tc>
          <w:tcPr>
            <w:tcW w:w="5014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left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国际经济与贸易、国际商务、国际贸易学</w:t>
            </w:r>
          </w:p>
        </w:tc>
      </w:tr>
      <w:tr w:rsidR="00BF0DCE" w:rsidTr="00F437F6">
        <w:trPr>
          <w:gridAfter w:val="1"/>
          <w:wAfter w:w="6" w:type="dxa"/>
          <w:trHeight w:val="688"/>
          <w:jc w:val="center"/>
        </w:trPr>
        <w:tc>
          <w:tcPr>
            <w:tcW w:w="231" w:type="dxa"/>
            <w:vMerge/>
            <w:tcBorders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物流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本科及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以上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以下</w:t>
            </w:r>
          </w:p>
        </w:tc>
        <w:tc>
          <w:tcPr>
            <w:tcW w:w="5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spacing w:line="3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物流工程、物流管理</w:t>
            </w:r>
          </w:p>
        </w:tc>
      </w:tr>
      <w:tr w:rsidR="00BF0DCE" w:rsidTr="00F437F6">
        <w:trPr>
          <w:gridAfter w:val="1"/>
          <w:wAfter w:w="6" w:type="dxa"/>
          <w:trHeight w:val="834"/>
          <w:jc w:val="center"/>
        </w:trPr>
        <w:tc>
          <w:tcPr>
            <w:tcW w:w="231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:rsidR="00BF0DCE" w:rsidRDefault="00BF0DCE" w:rsidP="00F437F6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计算机动漫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本科及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以上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以下</w:t>
            </w:r>
          </w:p>
        </w:tc>
        <w:tc>
          <w:tcPr>
            <w:tcW w:w="5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动画、</w:t>
            </w:r>
            <w:r>
              <w:rPr>
                <w:rFonts w:ascii="仿宋" w:eastAsia="仿宋" w:hAnsi="仿宋" w:cs="宋体"/>
                <w:sz w:val="24"/>
              </w:rPr>
              <w:t>数字媒体技术</w:t>
            </w:r>
          </w:p>
        </w:tc>
      </w:tr>
      <w:tr w:rsidR="00BF0DCE" w:rsidTr="00F437F6">
        <w:trPr>
          <w:gridAfter w:val="1"/>
          <w:wAfter w:w="6" w:type="dxa"/>
          <w:trHeight w:val="962"/>
          <w:jc w:val="center"/>
        </w:trPr>
        <w:tc>
          <w:tcPr>
            <w:tcW w:w="231" w:type="dxa"/>
            <w:vMerge/>
            <w:tcBorders>
              <w:right w:val="single" w:sz="8" w:space="0" w:color="000000"/>
            </w:tcBorders>
            <w:shd w:val="clear" w:color="auto" w:fill="auto"/>
            <w:vAlign w:val="center"/>
          </w:tcPr>
          <w:p w:rsidR="00BF0DCE" w:rsidRDefault="00BF0DCE" w:rsidP="00F437F6">
            <w:pPr>
              <w:widowControl/>
              <w:jc w:val="left"/>
              <w:rPr>
                <w:rFonts w:ascii="宋体"/>
                <w:sz w:val="18"/>
                <w:szCs w:val="18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陶艺</w:t>
            </w:r>
          </w:p>
        </w:tc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本科及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以上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FFFF00" w:fill="FFFFFF"/>
            <w:vAlign w:val="center"/>
          </w:tcPr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30周岁</w:t>
            </w:r>
          </w:p>
          <w:p w:rsidR="00BF0DCE" w:rsidRDefault="00BF0DCE" w:rsidP="00F437F6">
            <w:pPr>
              <w:widowControl/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以下</w:t>
            </w:r>
          </w:p>
        </w:tc>
        <w:tc>
          <w:tcPr>
            <w:tcW w:w="50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CCFFCC" w:fill="FFFFFF"/>
            <w:vAlign w:val="center"/>
          </w:tcPr>
          <w:p w:rsidR="00BF0DCE" w:rsidRDefault="00BF0DCE" w:rsidP="00F437F6">
            <w:pPr>
              <w:jc w:val="left"/>
              <w:rPr>
                <w:rFonts w:ascii="楷体_GB2312" w:eastAsia="楷体_GB2312" w:hAnsi="宋体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陶瓷艺术设计、工艺美术（陶瓷艺术方向）</w:t>
            </w:r>
          </w:p>
        </w:tc>
      </w:tr>
    </w:tbl>
    <w:p w:rsidR="001C49EB" w:rsidRDefault="001C49EB"/>
    <w:sectPr w:rsidR="001C49EB" w:rsidSect="001C4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0DCE"/>
    <w:rsid w:val="001C49EB"/>
    <w:rsid w:val="00BF0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D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>china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2017-11-27T03:58:00Z</dcterms:created>
  <dcterms:modified xsi:type="dcterms:W3CDTF">2017-11-27T04:00:00Z</dcterms:modified>
</cp:coreProperties>
</file>