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6" w:type="dxa"/>
        <w:tblInd w:w="0" w:type="dxa"/>
        <w:shd w:val="clear"/>
        <w:tblLayout w:type="fixed"/>
        <w:tblCellMar>
          <w:top w:w="0" w:type="dxa"/>
          <w:left w:w="0" w:type="dxa"/>
          <w:bottom w:w="0" w:type="dxa"/>
          <w:right w:w="0" w:type="dxa"/>
        </w:tblCellMar>
      </w:tblPr>
      <w:tblGrid>
        <w:gridCol w:w="1560"/>
        <w:gridCol w:w="335"/>
        <w:gridCol w:w="1883"/>
        <w:gridCol w:w="3904"/>
        <w:gridCol w:w="624"/>
      </w:tblGrid>
      <w:tr>
        <w:tblPrEx>
          <w:shd w:val="clear"/>
          <w:tblLayout w:type="fixed"/>
          <w:tblCellMar>
            <w:top w:w="0" w:type="dxa"/>
            <w:left w:w="0" w:type="dxa"/>
            <w:bottom w:w="0" w:type="dxa"/>
            <w:right w:w="0" w:type="dxa"/>
          </w:tblCellMar>
        </w:tblPrEx>
        <w:trPr>
          <w:trHeight w:val="525" w:hRule="atLeast"/>
        </w:trPr>
        <w:tc>
          <w:tcPr>
            <w:tcW w:w="8306" w:type="dxa"/>
            <w:gridSpan w:val="5"/>
            <w:shd w:val="clear"/>
            <w:vAlign w:val="center"/>
          </w:tcPr>
          <w:p>
            <w:pPr>
              <w:keepNext w:val="0"/>
              <w:keepLines w:val="0"/>
              <w:widowControl/>
              <w:suppressLineNumbers w:val="0"/>
              <w:ind w:left="0" w:firstLine="0"/>
              <w:jc w:val="left"/>
              <w:textAlignment w:val="center"/>
              <w:rPr>
                <w:rFonts w:ascii="仿宋_GB2312" w:hAnsi="宋体" w:eastAsia="仿宋_GB2312" w:cs="仿宋_GB2312"/>
                <w:i w:val="0"/>
                <w:caps w:val="0"/>
                <w:color w:val="auto"/>
                <w:spacing w:val="0"/>
                <w:sz w:val="28"/>
                <w:szCs w:val="28"/>
                <w:u w:val="none"/>
              </w:rPr>
            </w:pPr>
            <w:bookmarkStart w:id="0" w:name="RANGE!A1:E44"/>
            <w:r>
              <w:rPr>
                <w:rFonts w:hint="eastAsia" w:ascii="仿宋_GB2312" w:hAnsi="宋体" w:eastAsia="仿宋_GB2312" w:cs="仿宋_GB2312"/>
                <w:i w:val="0"/>
                <w:caps w:val="0"/>
                <w:color w:val="auto"/>
                <w:spacing w:val="0"/>
                <w:kern w:val="0"/>
                <w:sz w:val="28"/>
                <w:szCs w:val="28"/>
                <w:u w:val="none"/>
                <w:bdr w:val="none" w:color="auto" w:sz="0" w:space="0"/>
                <w:lang w:val="en-US" w:eastAsia="zh-CN" w:bidi="ar"/>
              </w:rPr>
              <w:t>附件1</w:t>
            </w:r>
            <w:bookmarkEnd w:id="0"/>
            <w:bookmarkStart w:id="1" w:name="_GoBack"/>
            <w:bookmarkEnd w:id="1"/>
          </w:p>
        </w:tc>
      </w:tr>
      <w:tr>
        <w:tblPrEx>
          <w:tblLayout w:type="fixed"/>
          <w:tblCellMar>
            <w:top w:w="0" w:type="dxa"/>
            <w:left w:w="0" w:type="dxa"/>
            <w:bottom w:w="0" w:type="dxa"/>
            <w:right w:w="0" w:type="dxa"/>
          </w:tblCellMar>
        </w:tblPrEx>
        <w:trPr>
          <w:trHeight w:val="525" w:hRule="atLeast"/>
        </w:trPr>
        <w:tc>
          <w:tcPr>
            <w:tcW w:w="8306" w:type="dxa"/>
            <w:gridSpan w:val="5"/>
            <w:shd w:val="clear"/>
            <w:vAlign w:val="center"/>
          </w:tcPr>
          <w:p>
            <w:pPr>
              <w:keepNext w:val="0"/>
              <w:keepLines w:val="0"/>
              <w:widowControl/>
              <w:suppressLineNumbers w:val="0"/>
              <w:ind w:left="0" w:firstLine="0"/>
              <w:jc w:val="center"/>
              <w:textAlignment w:val="center"/>
              <w:rPr>
                <w:rFonts w:ascii="方正小标宋简体" w:hAnsi="方正小标宋简体" w:eastAsia="方正小标宋简体" w:cs="方正小标宋简体"/>
                <w:i w:val="0"/>
                <w:caps w:val="0"/>
                <w:color w:val="auto"/>
                <w:spacing w:val="0"/>
                <w:sz w:val="40"/>
                <w:szCs w:val="40"/>
                <w:u w:val="none"/>
              </w:rPr>
            </w:pPr>
            <w:r>
              <w:rPr>
                <w:rFonts w:hint="eastAsia" w:ascii="方正小标宋简体" w:hAnsi="方正小标宋简体" w:eastAsia="方正小标宋简体" w:cs="方正小标宋简体"/>
                <w:i w:val="0"/>
                <w:caps w:val="0"/>
                <w:color w:val="auto"/>
                <w:spacing w:val="0"/>
                <w:kern w:val="0"/>
                <w:sz w:val="40"/>
                <w:szCs w:val="40"/>
                <w:u w:val="none"/>
                <w:bdr w:val="none" w:color="auto" w:sz="0" w:space="0"/>
                <w:lang w:val="en-US" w:eastAsia="zh-CN" w:bidi="ar"/>
              </w:rPr>
              <w:t>招聘单位基本情况</w:t>
            </w:r>
          </w:p>
        </w:tc>
      </w:tr>
      <w:tr>
        <w:tblPrEx>
          <w:tblLayout w:type="fixed"/>
          <w:tblCellMar>
            <w:top w:w="0" w:type="dxa"/>
            <w:left w:w="0" w:type="dxa"/>
            <w:bottom w:w="0" w:type="dxa"/>
            <w:right w:w="0" w:type="dxa"/>
          </w:tblCellMar>
        </w:tblPrEx>
        <w:trPr>
          <w:trHeight w:val="525" w:hRule="atLeast"/>
        </w:trPr>
        <w:tc>
          <w:tcPr>
            <w:tcW w:w="15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单位名称</w:t>
            </w:r>
          </w:p>
        </w:tc>
        <w:tc>
          <w:tcPr>
            <w:tcW w:w="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经费性质</w:t>
            </w:r>
          </w:p>
        </w:tc>
        <w:tc>
          <w:tcPr>
            <w:tcW w:w="188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单位地址</w:t>
            </w:r>
          </w:p>
        </w:tc>
        <w:tc>
          <w:tcPr>
            <w:tcW w:w="390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主要职能、简介</w:t>
            </w:r>
          </w:p>
        </w:tc>
        <w:tc>
          <w:tcPr>
            <w:tcW w:w="62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备  注</w:t>
            </w:r>
          </w:p>
        </w:tc>
      </w:tr>
      <w:tr>
        <w:tblPrEx>
          <w:tblLayout w:type="fixed"/>
          <w:tblCellMar>
            <w:top w:w="0" w:type="dxa"/>
            <w:left w:w="0" w:type="dxa"/>
            <w:bottom w:w="0" w:type="dxa"/>
            <w:right w:w="0" w:type="dxa"/>
          </w:tblCellMar>
        </w:tblPrEx>
        <w:trPr>
          <w:trHeight w:val="87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市减灾中心（市救灾物资管理中心）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广元市回龙河工业园区同心村4组</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负责市级救灾物资管理和储备，指导全市救灾物资的管理工作；负责开展社会救灾物资募集和捐赠接收工作；负责应急避难场所管理和九龙山资产管理工作；承担市减灾委员会的日常工作。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1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市社会福利院（市儿童福利院、市儿童福利服务指导中心）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广元市利州区莲花池社区枣树湾2组</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负责孤儿与弃婴收养，“三无”老人收养，兼顾社会自费养老服务。</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1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市烈士陵园管理处</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广元市利州区东坝嘉陵路北段49号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负责烈士墓地的管理工作及配合有关部门搞好烈士祭奠活动，对青少年进行革命传统和爱国主义教育。 </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78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市社会救助中心（市康复村管理办公室）</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广元市利州区东坝嘉陵路北段49号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负责市级临时性救助的申请受理、审核和资金发放，负责建立和维护全市居民家庭收入信息比对平台，并依照相关规定受托开展对申请社会救助家庭的经济状况核对。</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78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市政府和社会资本合作中心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广元市利州区文化路58号（广元市财政局）</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负责政府和社会资本合作政策研究、宣传推广、政策实施以及ppp项目监督等工作。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78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市不动产登记中心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广元市利州区万源政务服务中心</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负责市城市规划区的不动产登记及技术性服务工作。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75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广元市昭化区基层国土资源所</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广元市国土资源局昭化区分局辖区国土所</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负责辖区内国土资源执法监察及管理事务基础性性工作。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4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广元市昭化区不动产登记中心（广元市国土资源管理昭化区事务中心）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广元市昭化区元坝镇</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 负责辖区不动产登记工作。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9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市环境监测中心站</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广元市利州区东坝苴国路795号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负责环境监测工作规划、技术指导、环境污染源监测、生态监测、污染事故应急监测、重大建设项目竣工验收监测、监测数据管理等工作。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75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市环境宣传教育信息中心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广元市利州区东坝苴国路795号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从事全市环境信息技术的规划、设计、建设、管理和环境保护宣传教育等工作。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1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市城乡规划局</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广元市利州区利州东路612号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负责全市城乡规划编制、建筑工程、市政工程、用地、村镇管理等工作，承办市城乡规划委员会的日常工作。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4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广元经济技术开发区规划建设分局</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广元市利州区下西物流园区翔驰汽贸院内二楼</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负责广元经济技术开发区和三江新区范围内城乡规划管理等工作。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79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市建设工程招标投标办公室</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广元市利州区利州东路612号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负责房建及市政工程建设项目报建、招投标全过程监督、审查施工合同、受理投标并查处招标中的违法行为及审查批准招标代理单位的资格和管理等工作。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1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市房地产管理处</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广元市利州区利州东路612号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负责全市行政区域内的房地产开发企业、物管企业、中介机构的资质管理和国有土地上的房屋征收、交易管理及危房鉴定和住宅室内装饰装修管理等工作。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79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市城乡建设管理处</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广元市利州区利州东路612号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负责市政基础设施的管理，宣传市政管理法规等工作。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9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市航务管理局苍溪航道段</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苍溪县陵江镇龙王沟街30号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负责嘉陵江涧溪口至虎跳邢家滩航道的行政执法和航道维护管理、航标设置等工作，同时承担苍溪县城区防洪抢险等工作。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26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市文化馆</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广元市利州区文化路586号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承担社会教育，提高群众文化素质。组织开展文化活动、流动文化服务。指导群众业余文艺团队建设，辅导和培训群众文艺骨干。组织并指导群众文艺创作，开展群众文化工作理论研究。开展对外民间文化交流。指导本地区老年文化、老年教育、少儿文化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3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市文化遗产保护中心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广元市利州区文化路586号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参与全市非物质文化遗产保护的总体规划、评审标准的草拟；承担全市非物质文化遗产保护有关具体工作的组织实施；负责全市非物质文化遗产普查及科学保护等工作。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03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市广播电视台</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定补</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广元市利州区万源传媒中心</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负责政治、经济、思想、文化宣传和新闻宣传工作，拟定并组织实施本级广播电视事业和产业发展规划，负责广播电视节目的制作、播出工作，负责中央及省广播电视节目的传输等工作。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8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市第一人民医院</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差额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广元市利州区苴国路中段</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提供医疗服务，承担医学教学任务，开展医学科学研究，进行预防保健工作，国家三级甲等综合性医院。</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8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市中医医院</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差额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广元市利州区建设路133号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提供医疗服务，承担医学教学任务，开展医学科学研究，进行预防保健工作，国家三级甲等中医医院。</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3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市第三人民医院</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差额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广元市利州区利州西路三段50号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提供医疗服务，承担医学教学任务，开展医学科学研究，进行预防保健工作，国家三级乙等传染病专科医院。</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7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市妇幼保健计划生育服务中心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差额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广元市利州区蜀门北路465号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提供医疗保健和计划生育技术服务，承担基层医疗保健、计生技术培训任务，进行预防保健工作，国家级爱婴医院，国家三级乙等妇幼保健院。</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32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市农业信息服务中心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广元市利州区利州东路566号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承担全市农业信息服务体系建设与管理、农业信息网络建设、应用与管理、电子政务公开、农业信息化应用、业务平台应用管理、电子商务、电子农务指导、农情调度与农产品市场预警、农业宣传、农村信息队伍建设、公益性农业信息服务等职能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1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市公共资源交易服务中心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广元市利州区万源新区玉潭路50号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负责为市本级工程建设项目招标投标、政府采购、国有土地使用权和矿业权出让、国有产权交易等公共资源交易和农村产权交易提供服务。</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02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市生产安全应急救援支队</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广元市利州区回龙河街道群心村三组宏达路205号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负责全市煤矿、非煤矿山、危险化学品及其它生产安全事故的抢险应急救援等工作。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5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市接待服务中心</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广元市利州区人民路北段7号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从事公务接待等工作。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73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广元日报社</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定补</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广元市利州区万源传媒中心15楼</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从事主报出版、相关印刷、发行、广告，新闻研究，培训，业务交流等工作。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4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广元新闻网</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定补</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广元市利州区万源传媒中心16楼</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负责对外发布新闻、负责构建政务服务网媒通道、负责搭建网民建言献策平台、负责提供实用性资讯服务。</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9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旺苍职业中学</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旺苍县东河镇环城东路一段16号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从事职业高中教育和社会培训等工作。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90"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旺苍东城中学</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旺苍县东河镇滨河北路414号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从事普通高中、初中教育等工作。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四川省旺苍中学</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旺苍县东河镇建设路215号</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从事普通高中、初中教育等工作。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旺苍县特殊教育学校</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旺苍县东河镇马家渡马家梁</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从事特殊教育等工作。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旺苍县国华镇中心小学校</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旺苍县国华镇场镇</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从事小学教育等工作。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旺苍县大德乡中心小学校</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旺苍县大德乡场镇</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从事小学教育等工作。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四川省广元市朝天职业中学</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广元市朝天区朝天镇</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从事职业高中教育和社会培训等工作。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广元市朝天区大滩镇小学校</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广元市朝天区大滩镇场镇</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从事小学校教育教学、学前教育工作。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广元市朝天区曾家镇小学校</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广元市朝天区曾家镇场镇</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从事小学校教育教学、学前教育工作。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广元市朝天区花石乡小学校</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广元市朝天区花石乡场镇</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从事小学校教育教学、学前教育工作。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广元市朝天区马家坝乡小学校</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广元市朝天区马家坝乡场镇</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从事小学校教育教学、学前教育工作。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rPr>
        <w:tc>
          <w:tcPr>
            <w:tcW w:w="15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广元市朝天区临溪乡小学校</w:t>
            </w:r>
          </w:p>
        </w:tc>
        <w:tc>
          <w:tcPr>
            <w:tcW w:w="335"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全额</w:t>
            </w:r>
          </w:p>
        </w:tc>
        <w:tc>
          <w:tcPr>
            <w:tcW w:w="1883"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广元市朝天区临溪乡场镇</w:t>
            </w:r>
          </w:p>
        </w:tc>
        <w:tc>
          <w:tcPr>
            <w:tcW w:w="390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18"/>
                <w:szCs w:val="18"/>
                <w:u w:val="none"/>
              </w:rPr>
            </w:pPr>
            <w:r>
              <w:rPr>
                <w:rFonts w:hint="eastAsia" w:ascii="宋体" w:hAnsi="宋体" w:eastAsia="宋体" w:cs="宋体"/>
                <w:i w:val="0"/>
                <w:caps w:val="0"/>
                <w:color w:val="auto"/>
                <w:spacing w:val="0"/>
                <w:kern w:val="0"/>
                <w:sz w:val="18"/>
                <w:szCs w:val="18"/>
                <w:u w:val="none"/>
                <w:bdr w:val="none" w:color="auto" w:sz="0" w:space="0"/>
                <w:lang w:val="en-US" w:eastAsia="zh-CN" w:bidi="ar"/>
              </w:rPr>
              <w:t>从事小学校教育教学、学前教育工作。</w:t>
            </w:r>
          </w:p>
        </w:tc>
        <w:tc>
          <w:tcPr>
            <w:tcW w:w="624" w:type="dxa"/>
            <w:tcBorders>
              <w:top w:val="nil"/>
              <w:left w:val="nil"/>
              <w:bottom w:val="single" w:color="auto" w:sz="4" w:space="0"/>
              <w:right w:val="single" w:color="auto" w:sz="4" w:space="0"/>
            </w:tcBorders>
            <w:shd w:val="clear"/>
            <w:vAlign w:val="center"/>
          </w:tcPr>
          <w:p>
            <w:pPr>
              <w:keepNext w:val="0"/>
              <w:keepLines w:val="0"/>
              <w:widowControl/>
              <w:suppressLineNumbers w:val="0"/>
              <w:ind w:lef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font-size:15px;color:#000000;">
    <w:altName w:val="Latha"/>
    <w:panose1 w:val="00000000000000000000"/>
    <w:charset w:val="00"/>
    <w:family w:val="auto"/>
    <w:pitch w:val="default"/>
    <w:sig w:usb0="000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simsum">
    <w:altName w:val="Latha"/>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6C3817"/>
    <w:rsid w:val="636C381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2016-10-25T00:33:00Z</dcterms:created>
  <dc:creator>Administrator</dc:creator>
  <cp:lastModifiedBy>Administrator</cp:lastModifiedBy>
  <dcterms:modified xsi:type="dcterms:W3CDTF">2016-10-25T03:06:01Z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