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仿宋_GB2312" w:eastAsia="仿宋_GB2312" w:cs="仿宋_GB2312"/>
          <w:b/>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附件:宁波大学公开招聘工作人员具体岗位条件</w:t>
      </w:r>
    </w:p>
    <w:tbl>
      <w:tblPr>
        <w:tblStyle w:val="5"/>
        <w:tblW w:w="9376" w:type="dxa"/>
        <w:jc w:val="center"/>
        <w:tblInd w:w="5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6"/>
        <w:gridCol w:w="622"/>
        <w:gridCol w:w="425"/>
        <w:gridCol w:w="1935"/>
        <w:gridCol w:w="1912"/>
        <w:gridCol w:w="630"/>
        <w:gridCol w:w="33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招聘</w:t>
            </w:r>
          </w:p>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单位</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岗位</w:t>
            </w:r>
          </w:p>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类别</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人数</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岗位</w:t>
            </w:r>
          </w:p>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职责</w:t>
            </w:r>
          </w:p>
        </w:tc>
        <w:tc>
          <w:tcPr>
            <w:tcW w:w="191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所学专业、学历/学位要求</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招聘</w:t>
            </w:r>
          </w:p>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范围</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b/>
                <w:color w:val="000000" w:themeColor="text1"/>
                <w:kern w:val="0"/>
                <w:sz w:val="18"/>
                <w:szCs w:val="18"/>
                <w14:textFill>
                  <w14:solidFill>
                    <w14:schemeClr w14:val="tx1"/>
                  </w14:solidFill>
                </w14:textFill>
              </w:rPr>
              <w:t>其他资格条件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党委宣传部</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负责校报管理及理论宣传工作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新闻学、中国语言文学专业；研究生学历且硕士及以上学位。</w:t>
            </w:r>
          </w:p>
        </w:tc>
        <w:tc>
          <w:tcPr>
            <w:tcW w:w="630" w:type="dxa"/>
            <w:vMerge w:val="restart"/>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中共正式党员且符合下列条件之一：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5"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团委</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负责学生会指导与管理、学生科创事务管理、办公室综合事务管理等工作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2016年全日制普通高校应届毕业生，在校期间有1年及以上担任主要学生干部经历，中共正式党员。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教务处</w:t>
            </w:r>
          </w:p>
        </w:tc>
        <w:tc>
          <w:tcPr>
            <w:tcW w:w="622"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w:t>
            </w:r>
          </w:p>
        </w:tc>
        <w:tc>
          <w:tcPr>
            <w:tcW w:w="1935"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负责毕业审核管理、招生管理工作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研究生院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负责研究生教学运行、研究生信息管理系统维护工作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计算机科学与技术专业或信息与通信工程专业；研究生学历且硕士及以上学位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人文社科处</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负责学术交流活动管理以及处综合办公室、校社科联秘书处日常工作等</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人文社科类专业；研究生学历且硕士及以上学位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中共正式党员且符合下列条件之一：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负责科研成果管理和科研成果统计分析等</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中共正式党员，有2年及以上高校教育管理工作经历，年龄35周岁以下。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4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科学技术处/地方服务与合作处</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负责自然科学基金项目管理、纵向项目和创新团队项目管理等工作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理工科专业；研究生学历且硕士及以上学位</w:t>
            </w:r>
          </w:p>
        </w:tc>
        <w:tc>
          <w:tcPr>
            <w:tcW w:w="630" w:type="dxa"/>
            <w:vMerge w:val="restart"/>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男女各1名；且符合下列条件之一：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548"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负责高校地方服务管理等工作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理工科专业；研究生学历且硕士及以上学位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发展联络处/校友工作办公室</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负责校友工作办公室工作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1、2016年全日制普通高校应届毕业生，在校期间有1年及以上担任主要学生干部经历；</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人事处</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负责高层次人才引进等工作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有2年及以上高校教育管理工作经历，中共正式党员，年龄35周岁以下。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校园规划与建设处</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负责基建网站建设及维护等工作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土木工程专业或计算机科学与技术专业；研究生学历且硕士及以上学位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马克思主义学院</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负责学院教务管理等工作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tcBorders>
              <w:tl2br w:val="nil"/>
              <w:tr2bl w:val="nil"/>
            </w:tcBorders>
            <w:shd w:val="clear" w:color="auto" w:fill="auto"/>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教师教育学院</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负责学院财务、教务等工作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音乐学院</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负责学院学科、科研等工作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音乐与舞蹈学专业；研究生学历且硕士及以上学位</w:t>
            </w:r>
          </w:p>
        </w:tc>
        <w:tc>
          <w:tcPr>
            <w:tcW w:w="630" w:type="dxa"/>
            <w:vMerge w:val="restart"/>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机械工程与力学学院</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负责研究生教育管理等工作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vMerge w:val="continue"/>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有2年及以上高校教育管理工作经历，中共正式党员，年龄35周岁以下。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医学院</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负责留学生管理、外事及中外合作办学管理等工作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外国语言文学、翻译专业；研究生学历且硕士及以上学位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有1年及以上高校留学生管理工作经历，通过英语专业八级考试，中共正式党员，年龄30周岁以下。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审计处</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负责财务审计工作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会计学专业（要求本、硕专业一致）；研究生学历且硕士及以上学位</w:t>
            </w:r>
          </w:p>
        </w:tc>
        <w:tc>
          <w:tcPr>
            <w:tcW w:w="630" w:type="dxa"/>
            <w:vMerge w:val="restart"/>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有2年及以上企事业单位审计工作经历，具有助理会计师及以上专业技术职务，年龄30周岁以下。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职员</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负责工程审计工作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土木工程或工程管理专业（要求本、硕专业一致）；研究生学历且硕士及以上学位</w:t>
            </w:r>
          </w:p>
        </w:tc>
        <w:tc>
          <w:tcPr>
            <w:tcW w:w="630" w:type="dxa"/>
            <w:vMerge w:val="continue"/>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有2年及以上企事业单位审计工作经历，具有助理工程师及以上专业技术职务，年龄30周岁以下。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教务处</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负责教务数据处理与成绩管理等工作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计算机科学与技术、信息与通信工程、控制科学与工程、软件工程专业；研究生学历且硕士及以上学位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2、历届生，有2年及以上企事业单位数据处理或信息系统管理工作经历，年龄35周岁以下。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计划财务处</w:t>
            </w: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负责会计核算、财务管理工作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会计学、财务管理专业（要求本、硕专业一致）；研究生学历且硕士及以上学位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shd w:val="clear" w:color="auto" w:fill="auto"/>
            <w:tcMar>
              <w:top w:w="0" w:type="dxa"/>
              <w:left w:w="108" w:type="dxa"/>
              <w:bottom w:w="0" w:type="dxa"/>
              <w:right w:w="108" w:type="dxa"/>
            </w:tcMar>
            <w:vAlign w:val="center"/>
          </w:tcPr>
          <w:p>
            <w:pPr>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具有会计从业资格证书；且符合下列条件之一：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2、历届生，有2年及以上企事业单位财务工作经历，年龄35周岁以下。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负责财务管理信息化工作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会计学、财务管理专业（要求本、硕专业一致）；研究生学历且硕士及以上学位</w:t>
            </w:r>
          </w:p>
        </w:tc>
        <w:tc>
          <w:tcPr>
            <w:tcW w:w="630"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shd w:val="clear" w:color="auto" w:fill="auto"/>
            <w:tcMar>
              <w:top w:w="0" w:type="dxa"/>
              <w:left w:w="108" w:type="dxa"/>
              <w:bottom w:w="0" w:type="dxa"/>
              <w:right w:w="108" w:type="dxa"/>
            </w:tcMar>
            <w:vAlign w:val="center"/>
          </w:tcPr>
          <w:p>
            <w:pPr>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具有全国计算机技术与软件专业技术资格（水平）考试信息系统专业初级及以上证书和会计从业资格证书</w:t>
            </w:r>
            <w:r>
              <w:rPr>
                <w:rFonts w:hint="eastAsia" w:ascii="仿宋_GB2312" w:hAnsi="仿宋_GB2312" w:eastAsia="仿宋_GB2312" w:cs="仿宋_GB2312"/>
                <w:color w:val="000000" w:themeColor="text1"/>
                <w:sz w:val="18"/>
                <w:szCs w:val="18"/>
                <w14:textFill>
                  <w14:solidFill>
                    <w14:schemeClr w14:val="tx1"/>
                  </w14:solidFill>
                </w14:textFill>
              </w:rPr>
              <w:t>；</w:t>
            </w:r>
            <w:r>
              <w:rPr>
                <w:rFonts w:hint="eastAsia" w:ascii="仿宋_GB2312" w:hAnsi="仿宋_GB2312" w:eastAsia="仿宋_GB2312" w:cs="仿宋_GB2312"/>
                <w:color w:val="000000" w:themeColor="text1"/>
                <w:kern w:val="0"/>
                <w:sz w:val="18"/>
                <w:szCs w:val="18"/>
                <w14:textFill>
                  <w14:solidFill>
                    <w14:schemeClr w14:val="tx1"/>
                  </w14:solidFill>
                </w14:textFill>
              </w:rPr>
              <w:t>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2、历届生，有2年及以上企事业单位财务工作经历，年龄35周岁以下。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人文与传媒学院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负责新闻传播实验室安全与信息统计、网络维护与网站建设等工作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新闻传播学、计算机科学与技术专业；</w:t>
            </w:r>
            <w:r>
              <w:rPr>
                <w:rFonts w:hint="eastAsia" w:ascii="仿宋_GB2312" w:hAnsi="仿宋_GB2312" w:eastAsia="仿宋_GB2312" w:cs="仿宋_GB2312"/>
                <w:color w:val="000000" w:themeColor="text1"/>
                <w:sz w:val="18"/>
                <w:szCs w:val="18"/>
                <w14:textFill>
                  <w14:solidFill>
                    <w14:schemeClr w14:val="tx1"/>
                  </w14:solidFill>
                </w14:textFill>
              </w:rPr>
              <w:t>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浙江省</w:t>
            </w:r>
            <w:r>
              <w:rPr>
                <w:rFonts w:hint="eastAsia" w:ascii="仿宋_GB2312" w:hAnsi="仿宋_GB2312" w:eastAsia="仿宋_GB2312" w:cs="仿宋_GB2312"/>
                <w:color w:val="000000" w:themeColor="text1"/>
                <w:kern w:val="0"/>
                <w:sz w:val="18"/>
                <w:szCs w:val="18"/>
                <w14:textFill>
                  <w14:solidFill>
                    <w14:schemeClr w14:val="tx1"/>
                  </w14:solidFill>
                </w14:textFill>
              </w:rPr>
              <w:t>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有2年及以上高校工作经历，</w:t>
            </w:r>
            <w:r>
              <w:rPr>
                <w:rFonts w:hint="eastAsia" w:ascii="仿宋_GB2312" w:hAnsi="仿宋_GB2312" w:eastAsia="仿宋_GB2312" w:cs="仿宋_GB2312"/>
                <w:color w:val="000000" w:themeColor="text1"/>
                <w:sz w:val="18"/>
                <w:szCs w:val="18"/>
                <w14:textFill>
                  <w14:solidFill>
                    <w14:schemeClr w14:val="tx1"/>
                  </w14:solidFill>
                </w14:textFill>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理学院</w:t>
            </w:r>
          </w:p>
        </w:tc>
        <w:tc>
          <w:tcPr>
            <w:tcW w:w="622"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负责物理实验教学辅助等工作</w:t>
            </w:r>
          </w:p>
        </w:tc>
        <w:tc>
          <w:tcPr>
            <w:tcW w:w="1912" w:type="dxa"/>
            <w:tcBorders>
              <w:tl2br w:val="nil"/>
              <w:tr2bl w:val="nil"/>
            </w:tcBorders>
            <w:shd w:val="clear" w:color="auto" w:fill="auto"/>
            <w:tcMar>
              <w:top w:w="0" w:type="dxa"/>
              <w:left w:w="108" w:type="dxa"/>
              <w:bottom w:w="0" w:type="dxa"/>
              <w:right w:w="108" w:type="dxa"/>
            </w:tcMar>
            <w:vAlign w:val="center"/>
          </w:tcPr>
          <w:p>
            <w:pPr>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光学或凝聚态物理专业；研究生学历且硕士及以上学位</w:t>
            </w:r>
          </w:p>
        </w:tc>
        <w:tc>
          <w:tcPr>
            <w:tcW w:w="630"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浙江省</w:t>
            </w:r>
            <w:r>
              <w:rPr>
                <w:rFonts w:hint="eastAsia" w:ascii="仿宋_GB2312" w:hAnsi="仿宋_GB2312" w:eastAsia="仿宋_GB2312" w:cs="仿宋_GB2312"/>
                <w:color w:val="000000" w:themeColor="text1"/>
                <w:kern w:val="0"/>
                <w:sz w:val="18"/>
                <w:szCs w:val="18"/>
                <w14:textFill>
                  <w14:solidFill>
                    <w14:schemeClr w14:val="tx1"/>
                  </w14:solidFill>
                </w14:textFill>
              </w:rPr>
              <w:t>户籍</w:t>
            </w:r>
          </w:p>
        </w:tc>
        <w:tc>
          <w:tcPr>
            <w:tcW w:w="3346" w:type="dxa"/>
            <w:tcBorders>
              <w:tl2br w:val="nil"/>
              <w:tr2bl w:val="nil"/>
            </w:tcBorders>
            <w:tcMar>
              <w:top w:w="0" w:type="dxa"/>
              <w:left w:w="108" w:type="dxa"/>
              <w:bottom w:w="0" w:type="dxa"/>
              <w:right w:w="108" w:type="dxa"/>
            </w:tcMar>
            <w:vAlign w:val="center"/>
          </w:tcPr>
          <w:p>
            <w:pPr>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有2年及以上高校工作经历，年龄35周岁以下。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422"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负责表面形貌与成分分析测试系统、x射线衍射仪和综合物性分析系统等大型仪器的操作、维护与管理等工作</w:t>
            </w:r>
          </w:p>
        </w:tc>
        <w:tc>
          <w:tcPr>
            <w:tcW w:w="1912" w:type="dxa"/>
            <w:tcBorders>
              <w:tl2br w:val="nil"/>
              <w:tr2bl w:val="nil"/>
            </w:tcBorders>
            <w:shd w:val="clear" w:color="auto" w:fill="auto"/>
            <w:tcMar>
              <w:top w:w="0" w:type="dxa"/>
              <w:left w:w="108" w:type="dxa"/>
              <w:bottom w:w="0" w:type="dxa"/>
              <w:right w:w="108" w:type="dxa"/>
            </w:tcMar>
            <w:vAlign w:val="center"/>
          </w:tcPr>
          <w:p>
            <w:pPr>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物理学专业；研究生学历且硕士及以上学位</w:t>
            </w:r>
          </w:p>
        </w:tc>
        <w:tc>
          <w:tcPr>
            <w:tcW w:w="630"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浙江省</w:t>
            </w:r>
            <w:r>
              <w:rPr>
                <w:rFonts w:hint="eastAsia" w:ascii="仿宋_GB2312" w:hAnsi="仿宋_GB2312" w:eastAsia="仿宋_GB2312" w:cs="仿宋_GB2312"/>
                <w:color w:val="000000" w:themeColor="text1"/>
                <w:kern w:val="0"/>
                <w:sz w:val="18"/>
                <w:szCs w:val="18"/>
                <w14:textFill>
                  <w14:solidFill>
                    <w14:schemeClr w14:val="tx1"/>
                  </w14:solidFill>
                </w14:textFill>
              </w:rPr>
              <w:t>户籍和生源</w:t>
            </w:r>
          </w:p>
        </w:tc>
        <w:tc>
          <w:tcPr>
            <w:tcW w:w="3346" w:type="dxa"/>
            <w:tcBorders>
              <w:tl2br w:val="nil"/>
              <w:tr2bl w:val="nil"/>
            </w:tcBorders>
            <w:tcMar>
              <w:top w:w="0" w:type="dxa"/>
              <w:left w:w="108" w:type="dxa"/>
              <w:bottom w:w="0" w:type="dxa"/>
              <w:right w:w="108" w:type="dxa"/>
            </w:tcMar>
            <w:vAlign w:val="center"/>
          </w:tcPr>
          <w:p>
            <w:pPr>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有2年及以上高校实验教学和管理工作经历，</w:t>
            </w:r>
            <w:r>
              <w:rPr>
                <w:rFonts w:hint="eastAsia" w:ascii="仿宋_GB2312" w:hAnsi="仿宋_GB2312" w:eastAsia="仿宋_GB2312" w:cs="仿宋_GB2312"/>
                <w:color w:val="000000" w:themeColor="text1"/>
                <w:sz w:val="18"/>
                <w:szCs w:val="18"/>
                <w14:textFill>
                  <w14:solidFill>
                    <w14:schemeClr w14:val="tx1"/>
                  </w14:solidFill>
                </w14:textFill>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01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机械工程与力学学院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指导学生学科竞赛，承担实验教学任务以及实验室管理，承担学科建设的管理工作</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理工科专业；研究生学历且硕士及以上学位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全国</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2、历届生，有2年及以上高校实验教学和管理工作经历，年龄35周岁以下。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30"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center"/>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指导留学生学科竞赛和创新创业；协助指导留学生机电工程训练</w:t>
            </w:r>
          </w:p>
        </w:tc>
        <w:tc>
          <w:tcPr>
            <w:tcW w:w="1912" w:type="dxa"/>
            <w:tcBorders>
              <w:tl2br w:val="nil"/>
              <w:tr2bl w:val="nil"/>
            </w:tcBorders>
            <w:shd w:val="clear" w:color="auto" w:fill="auto"/>
            <w:tcMar>
              <w:top w:w="0" w:type="dxa"/>
              <w:left w:w="108" w:type="dxa"/>
              <w:bottom w:w="0" w:type="dxa"/>
              <w:right w:w="108" w:type="dxa"/>
            </w:tcMar>
            <w:vAlign w:val="center"/>
          </w:tcPr>
          <w:p>
            <w:pPr>
              <w:widowControl/>
              <w:spacing w:line="240" w:lineRule="exac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理工科专业；研究生学历且硕士及以上学位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shd w:val="clear" w:color="auto" w:fill="auto"/>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01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建筑工程与环境学院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负责土木工程专业本科生实验教学和研究生实验的准备和指导等工作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土木工程专业，研究生学历且硕士及以上学位</w:t>
            </w:r>
          </w:p>
        </w:tc>
        <w:tc>
          <w:tcPr>
            <w:tcW w:w="630" w:type="dxa"/>
            <w:vMerge w:val="restart"/>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浙江省户籍和生源</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b/>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有2年及以上企事业单位土木工程测试实验工作经历，</w:t>
            </w:r>
            <w:r>
              <w:rPr>
                <w:rFonts w:hint="eastAsia" w:ascii="仿宋_GB2312" w:hAnsi="仿宋_GB2312" w:eastAsia="仿宋_GB2312" w:cs="仿宋_GB2312"/>
                <w:color w:val="000000" w:themeColor="text1"/>
                <w:sz w:val="18"/>
                <w:szCs w:val="18"/>
                <w14:textFill>
                  <w14:solidFill>
                    <w14:schemeClr w14:val="tx1"/>
                  </w14:solidFill>
                </w14:textFill>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055"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负责建筑学专业实验教学和管理等工作</w:t>
            </w:r>
          </w:p>
        </w:tc>
        <w:tc>
          <w:tcPr>
            <w:tcW w:w="1912" w:type="dxa"/>
            <w:tcBorders>
              <w:tl2br w:val="nil"/>
              <w:tr2bl w:val="nil"/>
            </w:tcBorders>
            <w:tcMar>
              <w:top w:w="0" w:type="dxa"/>
              <w:left w:w="108" w:type="dxa"/>
              <w:bottom w:w="0" w:type="dxa"/>
              <w:right w:w="108" w:type="dxa"/>
            </w:tcMar>
            <w:vAlign w:val="center"/>
          </w:tcPr>
          <w:p>
            <w:pPr>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建筑学专业；</w:t>
            </w:r>
            <w:r>
              <w:rPr>
                <w:rFonts w:hint="eastAsia" w:ascii="仿宋_GB2312" w:hAnsi="仿宋_GB2312" w:eastAsia="仿宋_GB2312" w:cs="仿宋_GB2312"/>
                <w:color w:val="000000" w:themeColor="text1"/>
                <w:kern w:val="0"/>
                <w:sz w:val="18"/>
                <w:szCs w:val="18"/>
                <w14:textFill>
                  <w14:solidFill>
                    <w14:schemeClr w14:val="tx1"/>
                  </w14:solidFill>
                </w14:textFill>
              </w:rPr>
              <w:t>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有2年及以上企事业单位建筑测试实验工作经历，</w:t>
            </w:r>
            <w:r>
              <w:rPr>
                <w:rFonts w:hint="eastAsia" w:ascii="仿宋_GB2312" w:hAnsi="仿宋_GB2312" w:eastAsia="仿宋_GB2312" w:cs="仿宋_GB2312"/>
                <w:color w:val="000000" w:themeColor="text1"/>
                <w:sz w:val="18"/>
                <w:szCs w:val="18"/>
                <w14:textFill>
                  <w14:solidFill>
                    <w14:schemeClr w14:val="tx1"/>
                  </w14:solidFill>
                </w14:textFill>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vMerge w:val="restart"/>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海洋学院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水产经济动植物学实验室副主任。负责气质联用仪、固定式压力容器的操作及维护等工作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农业类专业；本科及以上学历且硕士及以上学位</w:t>
            </w:r>
          </w:p>
        </w:tc>
        <w:tc>
          <w:tcPr>
            <w:tcW w:w="630" w:type="dxa"/>
            <w:vMerge w:val="restart"/>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有5年及以上高校工作经历，具有实验师及以上专业技术职务，具有固定式压力容器操作证书，年龄35周岁以下。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80" w:hRule="atLeast"/>
          <w:jc w:val="center"/>
        </w:trPr>
        <w:tc>
          <w:tcPr>
            <w:tcW w:w="506" w:type="dxa"/>
            <w:vMerge w:val="continue"/>
            <w:tcBorders>
              <w:tl2br w:val="nil"/>
              <w:tr2bl w:val="nil"/>
            </w:tcBorders>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水产品综合利用实验教学中心实验员。负责中心本科生实验课程的教学准备和辅助指导、固定式压力容器的操作与维保等工作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农业类专业；本科及以上学历且硕士及以上学位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有5年及以上高校工作经历，具有固定式压力容器操作证书，年龄35周岁以下。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图书馆与信息中心</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3</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负责落实学校信息化建设的架构与设计，全校共享数据及相关数据库的质量控制、交换、服务及安全运维管理等工作。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计算机科学与技术、信息与通信工程、控制科学与工程专业；研究生学历且博士学位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年龄40周岁以下，且符合下列条件之一：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(1)具有MCDBA、Oracle或SunJAVA资质认证证书；</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(2)主持研发金额（单项采购价/招标价）在100万元以上（含100万元）的项目；</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(3)有2年及以上在（资产1千万以上）大型互联网企业工作经历；</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(4)具有校园信息化建设方面的个人专利。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负责全校信息化基础平放平台、各类应用系统的运维管理与安全工作及推广等工作。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计算机科学与技术、信息与通信工程、控制科学与工程专业；研究生学历且硕士及以上学位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年龄35周岁以下，且符合下列条件之一：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(1)具有MCDBA、Oracle、SunJAVA、CISCO、H3C或华为资质认证证书；</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(2)主持研发金额（单项采购价/招标价）在50万元以上（含50万元）的项目；</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(3)有2年及以上在互联网企业技术团队担任研发骨干的工作经历。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负责落实校园网络信息安全的规划，校园信息安全及云计算存储服务的管理与协调工作；牵头网络信息系统安全等级保护工作开展与执行等工作。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计算机科学与技术、信息与通信工程、控制科学与工程专业；研究生学历且硕士及以上学位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2、历届生，</w:t>
            </w:r>
            <w:r>
              <w:rPr>
                <w:rFonts w:hint="eastAsia" w:ascii="仿宋_GB2312" w:hAnsi="仿宋_GB2312" w:eastAsia="仿宋_GB2312" w:cs="仿宋_GB2312"/>
                <w:color w:val="000000" w:themeColor="text1"/>
                <w:kern w:val="0"/>
                <w:sz w:val="18"/>
                <w:szCs w:val="18"/>
                <w14:textFill>
                  <w14:solidFill>
                    <w14:schemeClr w14:val="tx1"/>
                  </w14:solidFill>
                </w14:textFill>
              </w:rPr>
              <w:t>年龄35周岁以下，且符合下列条件之一：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(1)具有MCDBA、Oracle、SunJAVA、CISCO、H3C或华为资质认证证书；</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(2)有2年及以上从事互联网、移动互联网安全防护工作经历。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4</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负责信息化基础应用平台及数据库运维管理与安全，一卡通系统的运维管理与安全；信息化应用系统的运维、培训、宣传和推广等工作。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计算机科学与技术、信息与通信工程、控制科学与工程专业；研究生学历且硕士及以上学位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2、历届生，有2年及以上（互联网）系统运维、管理工作经历，年龄35周岁以下。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06"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负责古籍、地方文献管理与服务工作；负责科技查新、学科服务等工作。</w:t>
            </w:r>
          </w:p>
        </w:tc>
        <w:tc>
          <w:tcPr>
            <w:tcW w:w="1912" w:type="dxa"/>
            <w:tcBorders>
              <w:tl2br w:val="nil"/>
              <w:tr2bl w:val="nil"/>
            </w:tcBorders>
            <w:tcMar>
              <w:top w:w="0" w:type="dxa"/>
              <w:left w:w="108" w:type="dxa"/>
              <w:bottom w:w="0" w:type="dxa"/>
              <w:right w:w="108" w:type="dxa"/>
            </w:tcMar>
            <w:vAlign w:val="center"/>
          </w:tcPr>
          <w:p>
            <w:pPr>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p>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历史学或文学专业；研究生学历且博士学位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2、历届生，有1年及以上高校工作经历，年龄35周岁以下。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其他专技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负责科技查新、学科服务等工作；负责机构知识库、图书馆网站数据审核服务等工作。</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情报学或教育技术学专业；研究生学历且硕士及以上学位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有1年及以上高校工作经历，年龄30周岁以下。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vMerge w:val="restart"/>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学工部</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男辅导员(一)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3</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大学生思想政治教育， 需入住男生公寓</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男性，2016年全日制普通高校应届毕业生，在校期间有1年及以上担任主要学生干部经历，中共正式党员。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女辅导员(一)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大学生思想政治教育， 需入住女生公寓</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女性，2016年全日制普通高校应届毕业生，在校期间有1年及以上担任主要学生干部经历，中共正式党员。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vMerge w:val="continue"/>
            <w:tcBorders>
              <w:tl2br w:val="nil"/>
              <w:tr2bl w:val="nil"/>
            </w:tcBorders>
            <w:shd w:val="clear" w:color="auto" w:fill="auto"/>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少数民族学生辅导员</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少数民族学生教育管理服务工作，需入住女生公寓</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民族学、宗教学、法学专业；研究生学历且硕士及以上学位</w:t>
            </w:r>
          </w:p>
        </w:tc>
        <w:tc>
          <w:tcPr>
            <w:tcW w:w="630" w:type="dxa"/>
            <w:vMerge w:val="restart"/>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女性，有1年及以上高校学生教育管理工作经历，中共正式党员，年龄30周岁以下。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男辅导员(二)</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7</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大学生思想政治教育， 需入住男生公寓</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男性，有1年及以上高校学生教育管理工作经历，中共正式党员，年龄35周岁以下。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女辅导员(二)</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4</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大学生思想政治教育，需入住女生公寓</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专业不限；研究生学历且硕士及以上学位</w:t>
            </w:r>
          </w:p>
        </w:tc>
        <w:tc>
          <w:tcPr>
            <w:tcW w:w="630" w:type="dxa"/>
            <w:vMerge w:val="continue"/>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 xml:space="preserve">女性；有1年及以上高校学生教育管理工作经历，中共正式党员，年龄35周岁以下。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restart"/>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体育学院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体育（乒乓球）教学</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体育学专业；研究生学历且硕士及以上学位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作为主教练或主力队员，获得国家级及以上的乒乓球单项比赛第1名或综合性运动会乒乓球比赛前3名的成绩；且符合下列条件之一：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2、历届生，有2年及以上高校教学工作经历，年龄35周岁以下。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vMerge w:val="continue"/>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体育（体操）教学</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体育学专业；研究生学历且硕士及以上学位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全国</w:t>
            </w:r>
          </w:p>
        </w:tc>
        <w:tc>
          <w:tcPr>
            <w:tcW w:w="3346" w:type="dxa"/>
            <w:tcBorders>
              <w:tl2br w:val="nil"/>
              <w:tr2bl w:val="nil"/>
            </w:tcBorders>
            <w:tcMar>
              <w:top w:w="0" w:type="dxa"/>
              <w:left w:w="108" w:type="dxa"/>
              <w:bottom w:w="0" w:type="dxa"/>
              <w:right w:w="108" w:type="dxa"/>
            </w:tcMar>
            <w:vAlign w:val="center"/>
          </w:tcPr>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作为主教练或主力队员，获得省级及以上的体操单项比赛第1名或综合性运动会体操比赛前3名的成绩；且符合下列条件之一：</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1、2016年全日制普通高校应届毕业生；</w:t>
            </w:r>
          </w:p>
          <w:p>
            <w:pPr>
              <w:widowControl/>
              <w:spacing w:line="240" w:lineRule="exact"/>
              <w:jc w:val="lef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2、历届生，有2年及以上高校教学工作经历，年龄35周岁以下。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120" w:hRule="atLeast"/>
          <w:jc w:val="center"/>
        </w:trPr>
        <w:tc>
          <w:tcPr>
            <w:tcW w:w="506" w:type="dxa"/>
            <w:tcBorders>
              <w:tl2br w:val="nil"/>
              <w:tr2bl w:val="nil"/>
            </w:tcBorders>
            <w:shd w:val="clear" w:color="auto" w:fill="auto"/>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音乐学院</w:t>
            </w:r>
          </w:p>
        </w:tc>
        <w:tc>
          <w:tcPr>
            <w:tcW w:w="622"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专技</w:t>
            </w:r>
          </w:p>
        </w:tc>
        <w:tc>
          <w:tcPr>
            <w:tcW w:w="42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w:t>
            </w:r>
          </w:p>
        </w:tc>
        <w:tc>
          <w:tcPr>
            <w:tcW w:w="1935"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音乐（琵琶演奏）教学</w:t>
            </w:r>
          </w:p>
        </w:tc>
        <w:tc>
          <w:tcPr>
            <w:tcW w:w="1912"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kern w:val="0"/>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音乐学（琵琶方向）专业；研究生学历且硕士及以上学位</w:t>
            </w:r>
          </w:p>
        </w:tc>
        <w:tc>
          <w:tcPr>
            <w:tcW w:w="630" w:type="dxa"/>
            <w:tcBorders>
              <w:tl2br w:val="nil"/>
              <w:tr2bl w:val="nil"/>
            </w:tcBorders>
            <w:tcMar>
              <w:top w:w="0" w:type="dxa"/>
              <w:left w:w="108" w:type="dxa"/>
              <w:bottom w:w="0" w:type="dxa"/>
              <w:right w:w="108" w:type="dxa"/>
            </w:tcMar>
            <w:vAlign w:val="center"/>
          </w:tcPr>
          <w:p>
            <w:pPr>
              <w:widowControl/>
              <w:spacing w:line="240" w:lineRule="exact"/>
              <w:jc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浙江省户籍</w:t>
            </w:r>
          </w:p>
        </w:tc>
        <w:tc>
          <w:tcPr>
            <w:tcW w:w="3346" w:type="dxa"/>
            <w:tcBorders>
              <w:tl2br w:val="nil"/>
              <w:tr2bl w:val="nil"/>
            </w:tcBorders>
            <w:tcMar>
              <w:top w:w="0" w:type="dxa"/>
              <w:left w:w="108" w:type="dxa"/>
              <w:bottom w:w="0" w:type="dxa"/>
              <w:right w:w="108" w:type="dxa"/>
            </w:tcMar>
            <w:vAlign w:val="center"/>
          </w:tcPr>
          <w:p>
            <w:pPr>
              <w:widowControl/>
              <w:spacing w:line="240" w:lineRule="exact"/>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有2年及以上高校教学工作经历，年龄30周岁以下。</w:t>
            </w:r>
          </w:p>
        </w:tc>
      </w:tr>
    </w:tbl>
    <w:p>
      <w:pPr>
        <w:spacing w:line="420" w:lineRule="exact"/>
        <w:ind w:firstLine="480" w:firstLineChars="200"/>
        <w:rPr>
          <w:rFonts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备注：中共正式党员、职称、职（执）业资格、英语等级取得时间和年龄、工作经历认定计算截止时间均为公告发布之日；2016年全日制普通高校应届毕业生须在2016年9月30日前取得相应的学历（学位），没有取得的取消录用资格；国（境）外留学回国境人员须在2016年9月30日前提供教育部中国留学服务中心出具的境外学历、学位认证书，专业相近的以所学课程情况为准。</w:t>
      </w:r>
    </w:p>
    <w:p>
      <w:pPr>
        <w:spacing w:line="420" w:lineRule="exact"/>
        <w:ind w:firstLine="480" w:firstLineChars="200"/>
        <w:rPr>
          <w:rFonts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“主要学生干部”包括：班长；团支书；党支部书记；二级学院团委、学生会、社团联合会中的部长级及以上的学生干部。</w:t>
      </w:r>
    </w:p>
    <w:p>
      <w:pPr>
        <w:spacing w:line="420" w:lineRule="exact"/>
        <w:ind w:firstLine="480" w:firstLineChars="200"/>
        <w:rPr>
          <w:rFonts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“高校</w:t>
      </w:r>
      <w:bookmarkStart w:id="0" w:name="OLE_LINK1"/>
      <w:r>
        <w:rPr>
          <w:rFonts w:hint="eastAsia" w:ascii="仿宋_GB2312" w:hAnsi="仿宋_GB2312" w:eastAsia="仿宋_GB2312" w:cs="仿宋_GB2312"/>
          <w:color w:val="000000" w:themeColor="text1"/>
          <w:kern w:val="0"/>
          <w:sz w:val="24"/>
          <w:szCs w:val="24"/>
          <w14:textFill>
            <w14:solidFill>
              <w14:schemeClr w14:val="tx1"/>
            </w14:solidFill>
          </w14:textFill>
        </w:rPr>
        <w:t>学生教育管理工作经历”</w:t>
      </w:r>
      <w:bookmarkEnd w:id="0"/>
      <w:r>
        <w:rPr>
          <w:rFonts w:hint="eastAsia" w:ascii="仿宋_GB2312" w:hAnsi="仿宋_GB2312" w:eastAsia="仿宋_GB2312" w:cs="仿宋_GB2312"/>
          <w:color w:val="000000" w:themeColor="text1"/>
          <w:kern w:val="0"/>
          <w:sz w:val="24"/>
          <w:szCs w:val="24"/>
          <w14:textFill>
            <w14:solidFill>
              <w14:schemeClr w14:val="tx1"/>
            </w14:solidFill>
          </w14:textFill>
        </w:rPr>
        <w:t>包括：在高校学工部、研工部、团委专职从事学生教育管理工作经历或从事高校一线专职辅导员工作经历。</w:t>
      </w:r>
    </w:p>
    <w:p>
      <w:pPr>
        <w:spacing w:line="420" w:lineRule="exact"/>
        <w:ind w:firstLine="480" w:firstLineChars="200"/>
        <w:rPr>
          <w:rFonts w:ascii="仿宋_GB2312" w:hAnsi="仿宋_GB2312" w:eastAsia="仿宋_GB2312" w:cs="仿宋_GB2312"/>
          <w:color w:val="000000" w:themeColor="text1"/>
          <w:kern w:val="0"/>
          <w:sz w:val="24"/>
          <w:szCs w:val="24"/>
          <w14:textFill>
            <w14:solidFill>
              <w14:schemeClr w14:val="tx1"/>
            </w14:solidFill>
          </w14:textFill>
        </w:rPr>
      </w:pPr>
      <w:r>
        <w:rPr>
          <w:rFonts w:ascii="仿宋_GB2312" w:hAnsi="仿宋_GB2312" w:eastAsia="仿宋_GB2312" w:cs="仿宋_GB2312"/>
          <w:color w:val="000000" w:themeColor="text1"/>
          <w:kern w:val="0"/>
          <w:sz w:val="24"/>
          <w:szCs w:val="24"/>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浙江省</w:t>
      </w:r>
      <w:r>
        <w:rPr>
          <w:rFonts w:ascii="仿宋_GB2312" w:hAnsi="仿宋_GB2312" w:eastAsia="仿宋_GB2312" w:cs="仿宋_GB2312"/>
          <w:color w:val="000000" w:themeColor="text1"/>
          <w:kern w:val="0"/>
          <w:sz w:val="24"/>
          <w:szCs w:val="24"/>
          <w14:textFill>
            <w14:solidFill>
              <w14:schemeClr w14:val="tx1"/>
            </w14:solidFill>
          </w14:textFill>
        </w:rPr>
        <w:t>户籍和</w:t>
      </w:r>
      <w:r>
        <w:rPr>
          <w:rFonts w:hint="eastAsia" w:ascii="仿宋_GB2312" w:hAnsi="仿宋_GB2312" w:eastAsia="仿宋_GB2312" w:cs="仿宋_GB2312"/>
          <w:color w:val="000000" w:themeColor="text1"/>
          <w:kern w:val="0"/>
          <w:sz w:val="24"/>
          <w:szCs w:val="24"/>
          <w14:textFill>
            <w14:solidFill>
              <w14:schemeClr w14:val="tx1"/>
            </w14:solidFill>
          </w14:textFill>
        </w:rPr>
        <w:t>生源</w:t>
      </w:r>
      <w:r>
        <w:rPr>
          <w:rFonts w:ascii="仿宋_GB2312" w:hAnsi="仿宋_GB2312" w:eastAsia="仿宋_GB2312" w:cs="仿宋_GB2312"/>
          <w:color w:val="000000" w:themeColor="text1"/>
          <w:kern w:val="0"/>
          <w:sz w:val="24"/>
          <w:szCs w:val="24"/>
          <w14:textFill>
            <w14:solidFill>
              <w14:schemeClr w14:val="tx1"/>
            </w14:solidFill>
          </w14:textFill>
        </w:rPr>
        <w:t>”</w:t>
      </w:r>
      <w:r>
        <w:rPr>
          <w:rFonts w:hint="eastAsia" w:ascii="仿宋_GB2312" w:hAnsi="仿宋_GB2312" w:eastAsia="仿宋_GB2312" w:cs="仿宋_GB2312"/>
          <w:color w:val="000000" w:themeColor="text1"/>
          <w:kern w:val="0"/>
          <w:sz w:val="24"/>
          <w:szCs w:val="24"/>
          <w14:textFill>
            <w14:solidFill>
              <w14:schemeClr w14:val="tx1"/>
            </w14:solidFill>
          </w14:textFill>
        </w:rPr>
        <w:t>是指应届生</w:t>
      </w:r>
      <w:r>
        <w:rPr>
          <w:rFonts w:ascii="仿宋_GB2312" w:hAnsi="仿宋_GB2312" w:eastAsia="仿宋_GB2312" w:cs="仿宋_GB2312"/>
          <w:color w:val="000000" w:themeColor="text1"/>
          <w:kern w:val="0"/>
          <w:sz w:val="24"/>
          <w:szCs w:val="24"/>
          <w14:textFill>
            <w14:solidFill>
              <w14:schemeClr w14:val="tx1"/>
            </w14:solidFill>
          </w14:textFill>
        </w:rPr>
        <w:t>含浙江省户籍或浙江省生源，其余</w:t>
      </w:r>
      <w:r>
        <w:rPr>
          <w:rFonts w:hint="eastAsia" w:ascii="仿宋_GB2312" w:hAnsi="仿宋_GB2312" w:eastAsia="仿宋_GB2312" w:cs="仿宋_GB2312"/>
          <w:color w:val="000000" w:themeColor="text1"/>
          <w:kern w:val="0"/>
          <w:sz w:val="24"/>
          <w:szCs w:val="24"/>
          <w14:textFill>
            <w14:solidFill>
              <w14:schemeClr w14:val="tx1"/>
            </w14:solidFill>
          </w14:textFill>
        </w:rPr>
        <w:t>需</w:t>
      </w:r>
      <w:r>
        <w:rPr>
          <w:rFonts w:ascii="仿宋_GB2312" w:hAnsi="仿宋_GB2312" w:eastAsia="仿宋_GB2312" w:cs="仿宋_GB2312"/>
          <w:color w:val="000000" w:themeColor="text1"/>
          <w:kern w:val="0"/>
          <w:sz w:val="24"/>
          <w:szCs w:val="24"/>
          <w14:textFill>
            <w14:solidFill>
              <w14:schemeClr w14:val="tx1"/>
            </w14:solidFill>
          </w14:textFill>
        </w:rPr>
        <w:t>为浙江省户籍。</w:t>
      </w:r>
      <w:bookmarkStart w:id="1" w:name="_GoBack"/>
      <w:bookmarkEnd w:id="1"/>
    </w:p>
    <w:p>
      <w:pPr>
        <w:rPr>
          <w:color w:val="000000" w:themeColor="text1"/>
          <w14:textFill>
            <w14:solidFill>
              <w14:schemeClr w14:val="tx1"/>
            </w14:solidFill>
          </w14:textFill>
        </w:rPr>
      </w:pPr>
    </w:p>
    <w:sectPr>
      <w:pgSz w:w="11906" w:h="16838"/>
      <w:pgMar w:top="1984" w:right="1361" w:bottom="1531" w:left="1587" w:header="851" w:footer="992" w:gutter="0"/>
      <w:cols w:space="0" w:num="1"/>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Calibri Light">
    <w:altName w:val="Calibri"/>
    <w:panose1 w:val="020F0302020204030204"/>
    <w:charset w:val="00"/>
    <w:family w:val="auto"/>
    <w:pitch w:val="default"/>
    <w:sig w:usb0="00000000"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44"/>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1B6000"/>
    <w:rsid w:val="00006047"/>
    <w:rsid w:val="0003594D"/>
    <w:rsid w:val="00155DBC"/>
    <w:rsid w:val="001E69AA"/>
    <w:rsid w:val="00311CEA"/>
    <w:rsid w:val="0033028B"/>
    <w:rsid w:val="00375E1E"/>
    <w:rsid w:val="003B3507"/>
    <w:rsid w:val="003C3B7E"/>
    <w:rsid w:val="00431CCA"/>
    <w:rsid w:val="00617B4F"/>
    <w:rsid w:val="006224EF"/>
    <w:rsid w:val="006E30B8"/>
    <w:rsid w:val="0076505D"/>
    <w:rsid w:val="007A13DD"/>
    <w:rsid w:val="00961C12"/>
    <w:rsid w:val="009F7F3A"/>
    <w:rsid w:val="00A8296D"/>
    <w:rsid w:val="00AF0DC2"/>
    <w:rsid w:val="00AF7909"/>
    <w:rsid w:val="00B91DE8"/>
    <w:rsid w:val="00C37AD6"/>
    <w:rsid w:val="00C516BA"/>
    <w:rsid w:val="00C54615"/>
    <w:rsid w:val="00CB4DB3"/>
    <w:rsid w:val="00D92636"/>
    <w:rsid w:val="00E55994"/>
    <w:rsid w:val="00FE4E0C"/>
    <w:rsid w:val="0BF01F9B"/>
    <w:rsid w:val="21DF0B98"/>
    <w:rsid w:val="24496452"/>
    <w:rsid w:val="3B446245"/>
    <w:rsid w:val="4432502A"/>
    <w:rsid w:val="5A4A76DA"/>
    <w:rsid w:val="5D5837A8"/>
    <w:rsid w:val="7F1B6000"/>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character" w:styleId="3">
    <w:name w:val="FollowedHyperlink"/>
    <w:basedOn w:val="2"/>
    <w:qFormat/>
    <w:uiPriority w:val="0"/>
    <w:rPr>
      <w:color w:val="4D4D4D"/>
      <w:u w:val="none"/>
    </w:rPr>
  </w:style>
  <w:style w:type="character" w:styleId="4">
    <w:name w:val="Hyperlink"/>
    <w:basedOn w:val="2"/>
    <w:qFormat/>
    <w:uiPriority w:val="0"/>
    <w:rPr>
      <w:color w:val="4D4D4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ruppee</Company>
  <Pages>5</Pages>
  <Words>914</Words>
  <Characters>5210</Characters>
  <Lines>43</Lines>
  <Paragraphs>12</Paragraphs>
  <ScaleCrop>false</ScaleCrop>
  <LinksUpToDate>false</LinksUpToDate>
  <CharactersWithSpaces>6112</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2016-07-15T03:05:00Z</dcterms:created>
  <dc:creator>Administrator</dc:creator>
  <cp:lastModifiedBy>Administrator</cp:lastModifiedBy>
  <dcterms:modified xsi:type="dcterms:W3CDTF">2016-07-27T03:22:23Z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